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B8" w:rsidRPr="0058509E" w:rsidRDefault="00CF59C6" w:rsidP="003013BA">
      <w:pPr>
        <w:jc w:val="center"/>
        <w:rPr>
          <w:rFonts w:asciiTheme="minorHAnsi" w:hAnsiTheme="minorHAnsi"/>
          <w:b/>
        </w:rPr>
      </w:pPr>
      <w:r w:rsidRPr="0058509E">
        <w:rPr>
          <w:rFonts w:asciiTheme="minorHAnsi" w:hAnsiTheme="minorHAnsi"/>
          <w:b/>
        </w:rPr>
        <w:t>Outcomes Working Group</w:t>
      </w:r>
    </w:p>
    <w:p w:rsidR="003013BA" w:rsidRPr="0058509E" w:rsidRDefault="003013BA" w:rsidP="003013BA">
      <w:pPr>
        <w:jc w:val="center"/>
        <w:rPr>
          <w:rFonts w:asciiTheme="minorHAnsi" w:hAnsiTheme="minorHAnsi"/>
        </w:rPr>
      </w:pPr>
      <w:r w:rsidRPr="0058509E">
        <w:rPr>
          <w:rFonts w:asciiTheme="minorHAnsi" w:hAnsiTheme="minorHAnsi"/>
          <w:b/>
        </w:rPr>
        <w:t>Brief on Session</w:t>
      </w:r>
      <w:r w:rsidR="00F56286" w:rsidRPr="0058509E">
        <w:rPr>
          <w:rFonts w:asciiTheme="minorHAnsi" w:hAnsiTheme="minorHAnsi"/>
          <w:b/>
        </w:rPr>
        <w:t xml:space="preserve"> 3: Outcomes Indicators</w:t>
      </w:r>
    </w:p>
    <w:p w:rsidR="003013BA" w:rsidRDefault="003013BA" w:rsidP="003013BA">
      <w:pPr>
        <w:jc w:val="center"/>
        <w:rPr>
          <w:rFonts w:asciiTheme="minorHAnsi" w:hAnsiTheme="minorHAnsi"/>
          <w:i/>
        </w:rPr>
      </w:pPr>
      <w:r w:rsidRPr="0058509E">
        <w:rPr>
          <w:rFonts w:asciiTheme="minorHAnsi" w:hAnsiTheme="minorHAnsi"/>
          <w:i/>
        </w:rPr>
        <w:t>(</w:t>
      </w:r>
      <w:r w:rsidR="001D18C5">
        <w:rPr>
          <w:rFonts w:asciiTheme="minorHAnsi" w:hAnsiTheme="minorHAnsi"/>
          <w:i/>
        </w:rPr>
        <w:t xml:space="preserve">first </w:t>
      </w:r>
      <w:r w:rsidRPr="0058509E">
        <w:rPr>
          <w:rFonts w:asciiTheme="minorHAnsi" w:hAnsiTheme="minorHAnsi"/>
          <w:i/>
        </w:rPr>
        <w:t>held</w:t>
      </w:r>
      <w:r w:rsidR="00F56286" w:rsidRPr="0058509E">
        <w:rPr>
          <w:rFonts w:asciiTheme="minorHAnsi" w:hAnsiTheme="minorHAnsi"/>
          <w:i/>
        </w:rPr>
        <w:t xml:space="preserve"> February</w:t>
      </w:r>
      <w:r w:rsidRPr="0058509E">
        <w:rPr>
          <w:rFonts w:asciiTheme="minorHAnsi" w:hAnsiTheme="minorHAnsi"/>
          <w:i/>
        </w:rPr>
        <w:t xml:space="preserve"> 201</w:t>
      </w:r>
      <w:r w:rsidR="00F56286" w:rsidRPr="0058509E">
        <w:rPr>
          <w:rFonts w:asciiTheme="minorHAnsi" w:hAnsiTheme="minorHAnsi"/>
          <w:i/>
        </w:rPr>
        <w:t>5</w:t>
      </w:r>
      <w:r w:rsidRPr="0058509E">
        <w:rPr>
          <w:rFonts w:asciiTheme="minorHAnsi" w:hAnsiTheme="minorHAnsi"/>
          <w:i/>
        </w:rPr>
        <w:t>)</w:t>
      </w:r>
    </w:p>
    <w:p w:rsidR="001D18C5" w:rsidRDefault="001D18C5" w:rsidP="003013BA">
      <w:pPr>
        <w:jc w:val="center"/>
        <w:rPr>
          <w:rFonts w:asciiTheme="minorHAnsi" w:hAnsiTheme="minorHAnsi"/>
          <w:i/>
        </w:rPr>
      </w:pPr>
      <w:r>
        <w:rPr>
          <w:rFonts w:asciiTheme="minorHAnsi" w:hAnsiTheme="minorHAnsi"/>
          <w:i/>
        </w:rPr>
        <w:t xml:space="preserve">With Bobbi Gray, Monitoring &amp; Evaluation Specialist at Freedom From Hunger (FFH) and </w:t>
      </w:r>
    </w:p>
    <w:p w:rsidR="001D18C5" w:rsidRPr="0058509E" w:rsidRDefault="001D18C5" w:rsidP="003013BA">
      <w:pPr>
        <w:jc w:val="center"/>
        <w:rPr>
          <w:rFonts w:asciiTheme="minorHAnsi" w:hAnsiTheme="minorHAnsi"/>
          <w:i/>
        </w:rPr>
      </w:pPr>
      <w:r>
        <w:rPr>
          <w:rFonts w:asciiTheme="minorHAnsi" w:hAnsiTheme="minorHAnsi"/>
          <w:i/>
        </w:rPr>
        <w:t>Anne Hastings, Director Microfinance CEO Working Group (MCWG)</w:t>
      </w:r>
    </w:p>
    <w:p w:rsidR="003013BA" w:rsidRPr="0058509E" w:rsidRDefault="003013BA">
      <w:pPr>
        <w:rPr>
          <w:rFonts w:asciiTheme="minorHAnsi" w:hAnsiTheme="minorHAnsi"/>
        </w:rPr>
      </w:pPr>
    </w:p>
    <w:p w:rsidR="00370AB1" w:rsidRPr="0058509E" w:rsidRDefault="0058509E">
      <w:pPr>
        <w:rPr>
          <w:rFonts w:asciiTheme="minorHAnsi" w:hAnsiTheme="minorHAnsi"/>
          <w:i/>
        </w:rPr>
      </w:pPr>
      <w:r w:rsidRPr="0058509E">
        <w:rPr>
          <w:rFonts w:asciiTheme="minorHAnsi" w:hAnsiTheme="minorHAnsi"/>
          <w:i/>
        </w:rPr>
        <w:t>In October 2014, the Social Performance Task Force (SPTF) launched the Outcomes Working Group.  Its purpose is to develop practical guidelines for credible measurement of and reporting on outcomes, drawing on experience with different approaches and tools.</w:t>
      </w:r>
    </w:p>
    <w:p w:rsidR="00370AB1" w:rsidRDefault="00370AB1">
      <w:pPr>
        <w:rPr>
          <w:rFonts w:asciiTheme="minorHAnsi" w:hAnsiTheme="minorHAnsi"/>
        </w:rPr>
      </w:pPr>
    </w:p>
    <w:p w:rsidR="001D18C5" w:rsidRDefault="001D18C5">
      <w:pPr>
        <w:rPr>
          <w:rFonts w:ascii="Calibri" w:hAnsi="Calibri"/>
        </w:rPr>
      </w:pPr>
      <w:r>
        <w:rPr>
          <w:rFonts w:asciiTheme="minorHAnsi" w:hAnsiTheme="minorHAnsi"/>
        </w:rPr>
        <w:t xml:space="preserve">The previous webinar (Theory of Change) highlighted the relevance of linking inputs to outcomes, and thinking about near-term and longer-term outcomes in a realistic time frame. </w:t>
      </w:r>
      <w:r w:rsidRPr="001D18C5">
        <w:rPr>
          <w:rFonts w:ascii="Calibri" w:hAnsi="Calibri"/>
        </w:rPr>
        <w:t>The next logical step is to identify the relevant practical indicators to measure change - and the steps that lead to change.</w:t>
      </w:r>
    </w:p>
    <w:p w:rsidR="001D18C5" w:rsidRPr="00346C61" w:rsidRDefault="001D18C5">
      <w:pPr>
        <w:rPr>
          <w:rFonts w:asciiTheme="minorHAnsi" w:hAnsiTheme="minorHAnsi"/>
          <w:sz w:val="16"/>
          <w:szCs w:val="16"/>
        </w:rPr>
      </w:pPr>
    </w:p>
    <w:p w:rsidR="003013BA" w:rsidRPr="0058509E" w:rsidRDefault="004F3545">
      <w:pPr>
        <w:rPr>
          <w:rFonts w:asciiTheme="minorHAnsi" w:hAnsiTheme="minorHAnsi"/>
        </w:rPr>
      </w:pPr>
      <w:r w:rsidRPr="0058509E">
        <w:rPr>
          <w:rFonts w:asciiTheme="minorHAnsi" w:hAnsiTheme="minorHAnsi"/>
          <w:u w:val="single"/>
        </w:rPr>
        <w:t xml:space="preserve">Session 3 of </w:t>
      </w:r>
      <w:r w:rsidR="003013BA" w:rsidRPr="0058509E">
        <w:rPr>
          <w:rFonts w:asciiTheme="minorHAnsi" w:hAnsiTheme="minorHAnsi"/>
          <w:u w:val="single"/>
        </w:rPr>
        <w:t>the Outcomes Working Group focused on</w:t>
      </w:r>
      <w:r w:rsidR="00C41D55" w:rsidRPr="0058509E">
        <w:rPr>
          <w:rFonts w:asciiTheme="minorHAnsi" w:hAnsiTheme="minorHAnsi"/>
          <w:u w:val="single"/>
        </w:rPr>
        <w:t xml:space="preserve"> </w:t>
      </w:r>
      <w:r w:rsidR="0058509E">
        <w:rPr>
          <w:rFonts w:asciiTheme="minorHAnsi" w:hAnsiTheme="minorHAnsi"/>
          <w:u w:val="single"/>
        </w:rPr>
        <w:t xml:space="preserve">three </w:t>
      </w:r>
      <w:r w:rsidR="003013BA" w:rsidRPr="0058509E">
        <w:rPr>
          <w:rFonts w:asciiTheme="minorHAnsi" w:hAnsiTheme="minorHAnsi"/>
          <w:u w:val="single"/>
        </w:rPr>
        <w:t>topics</w:t>
      </w:r>
      <w:r w:rsidR="003013BA" w:rsidRPr="0058509E">
        <w:rPr>
          <w:rFonts w:asciiTheme="minorHAnsi" w:hAnsiTheme="minorHAnsi"/>
        </w:rPr>
        <w:t>:</w:t>
      </w:r>
    </w:p>
    <w:p w:rsidR="00B70EBA" w:rsidRPr="0058509E" w:rsidRDefault="001D18C5" w:rsidP="00E807CF">
      <w:pPr>
        <w:pStyle w:val="ListParagraph"/>
        <w:numPr>
          <w:ilvl w:val="0"/>
          <w:numId w:val="1"/>
        </w:numPr>
        <w:ind w:left="540"/>
        <w:rPr>
          <w:rFonts w:asciiTheme="minorHAnsi" w:hAnsiTheme="minorHAnsi"/>
        </w:rPr>
      </w:pPr>
      <w:r>
        <w:rPr>
          <w:rFonts w:asciiTheme="minorHAnsi" w:hAnsiTheme="minorHAnsi"/>
        </w:rPr>
        <w:t>Indicators – the basics</w:t>
      </w:r>
    </w:p>
    <w:p w:rsidR="004F3545" w:rsidRPr="0058509E" w:rsidRDefault="001D18C5" w:rsidP="00A0556D">
      <w:pPr>
        <w:pStyle w:val="ListParagraph"/>
        <w:numPr>
          <w:ilvl w:val="0"/>
          <w:numId w:val="1"/>
        </w:numPr>
        <w:ind w:left="540"/>
        <w:rPr>
          <w:rFonts w:asciiTheme="minorHAnsi" w:hAnsiTheme="minorHAnsi"/>
        </w:rPr>
      </w:pPr>
      <w:r>
        <w:rPr>
          <w:rFonts w:asciiTheme="minorHAnsi" w:hAnsiTheme="minorHAnsi"/>
        </w:rPr>
        <w:t xml:space="preserve">The experience of FFH in identifying and testing </w:t>
      </w:r>
      <w:r w:rsidR="0067732B" w:rsidRPr="0067732B">
        <w:rPr>
          <w:rFonts w:asciiTheme="minorHAnsi" w:hAnsiTheme="minorHAnsi"/>
        </w:rPr>
        <w:t>health outcomes indicators</w:t>
      </w:r>
    </w:p>
    <w:p w:rsidR="004F3545" w:rsidRPr="0058509E" w:rsidRDefault="0053751D" w:rsidP="0058509E">
      <w:pPr>
        <w:pStyle w:val="ListParagraph"/>
        <w:numPr>
          <w:ilvl w:val="0"/>
          <w:numId w:val="1"/>
        </w:numPr>
        <w:ind w:left="540"/>
        <w:rPr>
          <w:rFonts w:asciiTheme="minorHAnsi" w:hAnsiTheme="minorHAnsi"/>
        </w:rPr>
      </w:pPr>
      <w:r>
        <w:rPr>
          <w:rFonts w:asciiTheme="minorHAnsi" w:hAnsiTheme="minorHAnsi"/>
        </w:rPr>
        <w:t>MCWG’s review of partner studies, and plans to develop a standardized menu of indicators for key outcome areas in microfinance.</w:t>
      </w:r>
      <w:r w:rsidR="00C41D55" w:rsidRPr="0058509E">
        <w:rPr>
          <w:rFonts w:asciiTheme="minorHAnsi" w:hAnsiTheme="minorHAnsi"/>
        </w:rPr>
        <w:t xml:space="preserve"> </w:t>
      </w:r>
    </w:p>
    <w:p w:rsidR="00370AB1" w:rsidRPr="0058509E" w:rsidRDefault="0058509E" w:rsidP="00370AB1">
      <w:pPr>
        <w:rPr>
          <w:rFonts w:asciiTheme="minorHAnsi" w:hAnsiTheme="minorHAnsi"/>
        </w:rPr>
      </w:pPr>
      <w:r w:rsidRPr="00CC1424">
        <w:rPr>
          <w:rFonts w:asciiTheme="minorHAnsi" w:hAnsiTheme="minorHAnsi"/>
        </w:rPr>
        <w:t>This brief summarizes the information shared and discussion on each of these topics.</w:t>
      </w:r>
    </w:p>
    <w:p w:rsidR="003013BA" w:rsidRPr="00346C61" w:rsidRDefault="003013BA">
      <w:pPr>
        <w:rPr>
          <w:rFonts w:asciiTheme="minorHAnsi" w:hAnsiTheme="minorHAnsi"/>
          <w:sz w:val="16"/>
          <w:szCs w:val="16"/>
        </w:rPr>
      </w:pPr>
    </w:p>
    <w:p w:rsidR="0053751D" w:rsidRPr="00346C61" w:rsidRDefault="0053751D" w:rsidP="00346C61">
      <w:pPr>
        <w:rPr>
          <w:rFonts w:asciiTheme="minorHAnsi" w:hAnsiTheme="minorHAnsi"/>
          <w:b/>
        </w:rPr>
      </w:pPr>
      <w:r>
        <w:rPr>
          <w:rFonts w:asciiTheme="minorHAnsi" w:hAnsiTheme="minorHAnsi"/>
          <w:b/>
        </w:rPr>
        <w:t>I</w:t>
      </w:r>
      <w:r w:rsidR="00B70EBA" w:rsidRPr="0058509E">
        <w:rPr>
          <w:rFonts w:asciiTheme="minorHAnsi" w:hAnsiTheme="minorHAnsi"/>
          <w:b/>
        </w:rPr>
        <w:t>ndicators</w:t>
      </w:r>
      <w:r>
        <w:rPr>
          <w:rFonts w:asciiTheme="minorHAnsi" w:hAnsiTheme="minorHAnsi"/>
          <w:b/>
        </w:rPr>
        <w:t xml:space="preserve"> – the basics</w:t>
      </w:r>
      <w:r w:rsidR="00346C61">
        <w:rPr>
          <w:rFonts w:asciiTheme="minorHAnsi" w:hAnsiTheme="minorHAnsi"/>
          <w:b/>
        </w:rPr>
        <w:t xml:space="preserve">      </w:t>
      </w:r>
      <w:r w:rsidR="00B70EBA" w:rsidRPr="00346C61">
        <w:rPr>
          <w:rFonts w:asciiTheme="minorHAnsi" w:hAnsiTheme="minorHAnsi"/>
        </w:rPr>
        <w:t>Indicators should be</w:t>
      </w:r>
      <w:r w:rsidRPr="00346C61">
        <w:rPr>
          <w:rFonts w:asciiTheme="minorHAnsi" w:hAnsiTheme="minorHAnsi"/>
        </w:rPr>
        <w:t>:</w:t>
      </w:r>
    </w:p>
    <w:p w:rsidR="00B70EBA" w:rsidRPr="0058509E" w:rsidRDefault="00B70EBA" w:rsidP="0058509E">
      <w:pPr>
        <w:pStyle w:val="ListParagraph"/>
        <w:numPr>
          <w:ilvl w:val="0"/>
          <w:numId w:val="9"/>
        </w:numPr>
        <w:ind w:left="540"/>
        <w:rPr>
          <w:rFonts w:asciiTheme="minorHAnsi" w:hAnsiTheme="minorHAnsi"/>
        </w:rPr>
      </w:pPr>
      <w:r w:rsidRPr="0058509E">
        <w:rPr>
          <w:rFonts w:asciiTheme="minorHAnsi" w:hAnsiTheme="minorHAnsi"/>
        </w:rPr>
        <w:t xml:space="preserve"> </w:t>
      </w:r>
      <w:r w:rsidR="0053751D">
        <w:rPr>
          <w:rFonts w:asciiTheme="minorHAnsi" w:hAnsiTheme="minorHAnsi"/>
        </w:rPr>
        <w:t xml:space="preserve">relevant and specific to defined </w:t>
      </w:r>
      <w:r w:rsidR="00C0413E" w:rsidRPr="0058509E">
        <w:rPr>
          <w:rFonts w:asciiTheme="minorHAnsi" w:hAnsiTheme="minorHAnsi"/>
        </w:rPr>
        <w:t>social goal</w:t>
      </w:r>
      <w:r w:rsidR="0053751D">
        <w:rPr>
          <w:rFonts w:asciiTheme="minorHAnsi" w:hAnsiTheme="minorHAnsi"/>
        </w:rPr>
        <w:t>s</w:t>
      </w:r>
      <w:r w:rsidR="007D7591" w:rsidRPr="0058509E">
        <w:rPr>
          <w:rFonts w:asciiTheme="minorHAnsi" w:hAnsiTheme="minorHAnsi"/>
        </w:rPr>
        <w:t xml:space="preserve"> of the institution</w:t>
      </w:r>
      <w:r w:rsidR="0058509E">
        <w:rPr>
          <w:rFonts w:asciiTheme="minorHAnsi" w:hAnsiTheme="minorHAnsi"/>
        </w:rPr>
        <w:t xml:space="preserve">,  </w:t>
      </w:r>
      <w:r w:rsidRPr="0058509E">
        <w:rPr>
          <w:rFonts w:asciiTheme="minorHAnsi" w:hAnsiTheme="minorHAnsi"/>
        </w:rPr>
        <w:t>practical to measure</w:t>
      </w:r>
      <w:r w:rsidR="0058509E">
        <w:rPr>
          <w:rFonts w:asciiTheme="minorHAnsi" w:hAnsiTheme="minorHAnsi"/>
        </w:rPr>
        <w:t xml:space="preserve">, </w:t>
      </w:r>
      <w:r w:rsidR="0053751D">
        <w:rPr>
          <w:rFonts w:asciiTheme="minorHAnsi" w:hAnsiTheme="minorHAnsi"/>
        </w:rPr>
        <w:t xml:space="preserve">and have a </w:t>
      </w:r>
      <w:r w:rsidR="00AB34A6" w:rsidRPr="0058509E">
        <w:rPr>
          <w:rFonts w:asciiTheme="minorHAnsi" w:hAnsiTheme="minorHAnsi"/>
        </w:rPr>
        <w:t>clear</w:t>
      </w:r>
      <w:r w:rsidR="0053751D">
        <w:rPr>
          <w:rFonts w:asciiTheme="minorHAnsi" w:hAnsiTheme="minorHAnsi"/>
        </w:rPr>
        <w:t xml:space="preserve"> definable meaning</w:t>
      </w:r>
    </w:p>
    <w:p w:rsidR="00B70EBA" w:rsidRPr="0053751D" w:rsidRDefault="0053751D" w:rsidP="0058509E">
      <w:pPr>
        <w:pStyle w:val="ListParagraph"/>
        <w:numPr>
          <w:ilvl w:val="0"/>
          <w:numId w:val="9"/>
        </w:numPr>
        <w:ind w:left="540"/>
        <w:rPr>
          <w:rFonts w:asciiTheme="minorHAnsi" w:hAnsiTheme="minorHAnsi"/>
        </w:rPr>
      </w:pPr>
      <w:r>
        <w:rPr>
          <w:rFonts w:asciiTheme="minorHAnsi" w:hAnsiTheme="minorHAnsi"/>
        </w:rPr>
        <w:t>p</w:t>
      </w:r>
      <w:r w:rsidRPr="0053751D">
        <w:rPr>
          <w:rFonts w:asciiTheme="minorHAnsi" w:hAnsiTheme="minorHAnsi"/>
        </w:rPr>
        <w:t>ossible to benchmark – i.e</w:t>
      </w:r>
      <w:r w:rsidR="00E522BF">
        <w:rPr>
          <w:rFonts w:asciiTheme="minorHAnsi" w:hAnsiTheme="minorHAnsi"/>
        </w:rPr>
        <w:t>.,</w:t>
      </w:r>
      <w:r w:rsidRPr="0053751D">
        <w:rPr>
          <w:rFonts w:asciiTheme="minorHAnsi" w:hAnsiTheme="minorHAnsi"/>
        </w:rPr>
        <w:t xml:space="preserve"> compare with country</w:t>
      </w:r>
      <w:r w:rsidR="00E522BF">
        <w:rPr>
          <w:rFonts w:asciiTheme="minorHAnsi" w:hAnsiTheme="minorHAnsi"/>
        </w:rPr>
        <w:t xml:space="preserve"> or</w:t>
      </w:r>
      <w:r w:rsidRPr="0053751D">
        <w:rPr>
          <w:rFonts w:asciiTheme="minorHAnsi" w:hAnsiTheme="minorHAnsi"/>
        </w:rPr>
        <w:t xml:space="preserve"> regional average data</w:t>
      </w:r>
    </w:p>
    <w:p w:rsidR="00B70EBA" w:rsidRPr="0053751D" w:rsidRDefault="00B70EBA" w:rsidP="0058509E">
      <w:pPr>
        <w:pStyle w:val="ListParagraph"/>
        <w:numPr>
          <w:ilvl w:val="0"/>
          <w:numId w:val="9"/>
        </w:numPr>
        <w:ind w:left="540"/>
        <w:rPr>
          <w:rFonts w:asciiTheme="minorHAnsi" w:hAnsiTheme="minorHAnsi"/>
        </w:rPr>
      </w:pPr>
      <w:r w:rsidRPr="0053751D">
        <w:rPr>
          <w:rFonts w:asciiTheme="minorHAnsi" w:hAnsiTheme="minorHAnsi"/>
        </w:rPr>
        <w:t xml:space="preserve">limited </w:t>
      </w:r>
      <w:r w:rsidR="0053751D">
        <w:rPr>
          <w:rFonts w:asciiTheme="minorHAnsi" w:hAnsiTheme="minorHAnsi"/>
        </w:rPr>
        <w:t xml:space="preserve">in </w:t>
      </w:r>
      <w:r w:rsidRPr="0053751D">
        <w:rPr>
          <w:rFonts w:asciiTheme="minorHAnsi" w:hAnsiTheme="minorHAnsi"/>
        </w:rPr>
        <w:t xml:space="preserve">number </w:t>
      </w:r>
      <w:r w:rsidR="0053751D">
        <w:rPr>
          <w:rFonts w:asciiTheme="minorHAnsi" w:hAnsiTheme="minorHAnsi"/>
        </w:rPr>
        <w:t xml:space="preserve">– focused and manageable </w:t>
      </w:r>
    </w:p>
    <w:p w:rsidR="00AB34A6" w:rsidRPr="0053751D" w:rsidRDefault="0053751D" w:rsidP="0053751D">
      <w:pPr>
        <w:ind w:left="180"/>
        <w:rPr>
          <w:rFonts w:asciiTheme="minorHAnsi" w:hAnsiTheme="minorHAnsi"/>
        </w:rPr>
      </w:pPr>
      <w:r>
        <w:rPr>
          <w:rFonts w:asciiTheme="minorHAnsi" w:hAnsiTheme="minorHAnsi"/>
        </w:rPr>
        <w:t xml:space="preserve">There are inevitably </w:t>
      </w:r>
      <w:r w:rsidR="00AB34A6" w:rsidRPr="0053751D">
        <w:rPr>
          <w:rFonts w:asciiTheme="minorHAnsi" w:hAnsiTheme="minorHAnsi"/>
        </w:rPr>
        <w:t>trade-offs</w:t>
      </w:r>
      <w:r>
        <w:rPr>
          <w:rFonts w:asciiTheme="minorHAnsi" w:hAnsiTheme="minorHAnsi"/>
        </w:rPr>
        <w:t xml:space="preserve"> and choices to be made </w:t>
      </w:r>
      <w:r w:rsidR="00AB34A6" w:rsidRPr="0053751D">
        <w:rPr>
          <w:rFonts w:asciiTheme="minorHAnsi" w:hAnsiTheme="minorHAnsi"/>
        </w:rPr>
        <w:t xml:space="preserve">between </w:t>
      </w:r>
      <w:r w:rsidR="00C0413E" w:rsidRPr="0053751D">
        <w:rPr>
          <w:rFonts w:asciiTheme="minorHAnsi" w:hAnsiTheme="minorHAnsi"/>
        </w:rPr>
        <w:t>indicators that a</w:t>
      </w:r>
      <w:r>
        <w:rPr>
          <w:rFonts w:asciiTheme="minorHAnsi" w:hAnsiTheme="minorHAnsi"/>
        </w:rPr>
        <w:t xml:space="preserve">ppear </w:t>
      </w:r>
      <w:r w:rsidR="0058509E" w:rsidRPr="0053751D">
        <w:rPr>
          <w:rFonts w:asciiTheme="minorHAnsi" w:hAnsiTheme="minorHAnsi"/>
        </w:rPr>
        <w:t xml:space="preserve">most </w:t>
      </w:r>
      <w:r w:rsidR="00AB34A6" w:rsidRPr="0053751D">
        <w:rPr>
          <w:rFonts w:asciiTheme="minorHAnsi" w:hAnsiTheme="minorHAnsi"/>
        </w:rPr>
        <w:t xml:space="preserve">relevant </w:t>
      </w:r>
      <w:r w:rsidR="00C0413E" w:rsidRPr="0053751D">
        <w:rPr>
          <w:rFonts w:asciiTheme="minorHAnsi" w:hAnsiTheme="minorHAnsi"/>
        </w:rPr>
        <w:t xml:space="preserve">versus practical to collect </w:t>
      </w:r>
      <w:r w:rsidR="006D5AC2">
        <w:rPr>
          <w:rFonts w:asciiTheme="minorHAnsi" w:hAnsiTheme="minorHAnsi"/>
        </w:rPr>
        <w:t xml:space="preserve">(e.g. household income or consumption) </w:t>
      </w:r>
      <w:r w:rsidR="00C0413E" w:rsidRPr="0053751D">
        <w:rPr>
          <w:rFonts w:asciiTheme="minorHAnsi" w:hAnsiTheme="minorHAnsi"/>
        </w:rPr>
        <w:t xml:space="preserve">and/or </w:t>
      </w:r>
      <w:r w:rsidR="00AB34A6" w:rsidRPr="0053751D">
        <w:rPr>
          <w:rFonts w:asciiTheme="minorHAnsi" w:hAnsiTheme="minorHAnsi"/>
        </w:rPr>
        <w:t>unambiguous to measure</w:t>
      </w:r>
      <w:r w:rsidR="006D5AC2">
        <w:rPr>
          <w:rFonts w:asciiTheme="minorHAnsi" w:hAnsiTheme="minorHAnsi"/>
        </w:rPr>
        <w:t xml:space="preserve"> (e.g. women’s decision making)</w:t>
      </w:r>
      <w:r w:rsidR="00267E4F">
        <w:rPr>
          <w:rFonts w:asciiTheme="minorHAnsi" w:hAnsiTheme="minorHAnsi"/>
        </w:rPr>
        <w:t>.</w:t>
      </w:r>
    </w:p>
    <w:p w:rsidR="00B70EBA" w:rsidRPr="0058509E" w:rsidRDefault="00B70EBA">
      <w:pPr>
        <w:rPr>
          <w:rFonts w:asciiTheme="minorHAnsi" w:hAnsiTheme="minorHAnsi"/>
        </w:rPr>
      </w:pPr>
    </w:p>
    <w:p w:rsidR="003373F8" w:rsidRDefault="006D5AC2" w:rsidP="003373F8">
      <w:pPr>
        <w:rPr>
          <w:rFonts w:asciiTheme="minorHAnsi" w:hAnsiTheme="minorHAnsi"/>
          <w:b/>
        </w:rPr>
      </w:pPr>
      <w:r>
        <w:rPr>
          <w:rFonts w:asciiTheme="minorHAnsi" w:hAnsiTheme="minorHAnsi"/>
          <w:b/>
        </w:rPr>
        <w:t xml:space="preserve">Practical indicators of health outcomes </w:t>
      </w:r>
    </w:p>
    <w:p w:rsidR="00365F6C" w:rsidRPr="00365F6C" w:rsidRDefault="003A7512" w:rsidP="003F762E">
      <w:pPr>
        <w:rPr>
          <w:rFonts w:asciiTheme="minorHAnsi" w:hAnsiTheme="minorHAnsi"/>
        </w:rPr>
      </w:pPr>
      <w:r>
        <w:rPr>
          <w:rFonts w:asciiTheme="minorHAnsi" w:hAnsiTheme="minorHAnsi"/>
          <w:noProof/>
          <w:lang w:eastAsia="zh-TW"/>
        </w:rPr>
        <w:pict>
          <v:shapetype id="_x0000_t202" coordsize="21600,21600" o:spt="202" path="m,l,21600r21600,l21600,xe">
            <v:stroke joinstyle="miter"/>
            <v:path gradientshapeok="t" o:connecttype="rect"/>
          </v:shapetype>
          <v:shape id="_x0000_s1026" type="#_x0000_t202" style="position:absolute;margin-left:19.7pt;margin-top:49pt;width:383.6pt;height:21.4pt;z-index:251660288;mso-height-percent:200;mso-height-percent:200;mso-width-relative:margin;mso-height-relative:margin" stroked="f">
            <v:textbox style="mso-fit-shape-to-text:t">
              <w:txbxContent>
                <w:p w:rsidR="00346C61" w:rsidRPr="00A519FE" w:rsidRDefault="00346C61">
                  <w:pPr>
                    <w:rPr>
                      <w:rFonts w:asciiTheme="minorHAnsi" w:hAnsiTheme="minorHAnsi"/>
                      <w:b/>
                      <w:i/>
                      <w:sz w:val="22"/>
                      <w:szCs w:val="22"/>
                    </w:rPr>
                  </w:pPr>
                  <w:r w:rsidRPr="00A519FE">
                    <w:rPr>
                      <w:rFonts w:asciiTheme="minorHAnsi" w:hAnsiTheme="minorHAnsi"/>
                      <w:b/>
                      <w:i/>
                      <w:sz w:val="22"/>
                      <w:szCs w:val="22"/>
                    </w:rPr>
                    <w:t>Theory of Change – financial services and improved health outcomes</w:t>
                  </w:r>
                </w:p>
              </w:txbxContent>
            </v:textbox>
          </v:shape>
        </w:pict>
      </w:r>
      <w:r w:rsidR="00291BC6">
        <w:rPr>
          <w:rFonts w:asciiTheme="minorHAnsi" w:hAnsiTheme="minorHAnsi"/>
        </w:rPr>
        <w:t xml:space="preserve">Research has shown the vulnerability of the poor to health issues.  </w:t>
      </w:r>
      <w:r w:rsidR="00A519FE">
        <w:rPr>
          <w:rFonts w:asciiTheme="minorHAnsi" w:hAnsiTheme="minorHAnsi"/>
        </w:rPr>
        <w:t xml:space="preserve">Access to microfinance services can help clients in dealing with ill-health, and some MFIs have started to link their clients to supportive health services or education.  </w:t>
      </w:r>
      <w:r w:rsidR="00365F6C">
        <w:rPr>
          <w:rFonts w:asciiTheme="minorHAnsi" w:hAnsiTheme="minorHAnsi"/>
          <w:noProof/>
        </w:rPr>
        <w:drawing>
          <wp:inline distT="0" distB="0" distL="0" distR="0">
            <wp:extent cx="5486400" cy="1285875"/>
            <wp:effectExtent l="3810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5F6C" w:rsidRDefault="00A519FE" w:rsidP="003F762E">
      <w:pPr>
        <w:rPr>
          <w:rFonts w:asciiTheme="minorHAnsi" w:hAnsiTheme="minorHAnsi"/>
        </w:rPr>
      </w:pPr>
      <w:r w:rsidRPr="00346C61">
        <w:rPr>
          <w:rFonts w:asciiTheme="minorHAnsi" w:hAnsiTheme="minorHAnsi"/>
          <w:b/>
        </w:rPr>
        <w:t>FFH</w:t>
      </w:r>
      <w:r>
        <w:rPr>
          <w:rFonts w:asciiTheme="minorHAnsi" w:hAnsiTheme="minorHAnsi"/>
        </w:rPr>
        <w:t xml:space="preserve"> over the past 12 months has implemented a project to develop indicators of health outcomes that are feasible, reliable and usable;  and to pilot test data collection by FSPs.</w:t>
      </w:r>
    </w:p>
    <w:p w:rsidR="00346C61" w:rsidRDefault="00346C61" w:rsidP="003F762E">
      <w:pPr>
        <w:rPr>
          <w:rFonts w:asciiTheme="minorHAnsi" w:hAnsiTheme="minorHAnsi"/>
        </w:rPr>
      </w:pPr>
    </w:p>
    <w:tbl>
      <w:tblPr>
        <w:tblStyle w:val="TableGrid"/>
        <w:tblW w:w="0" w:type="auto"/>
        <w:tblLook w:val="04A0"/>
      </w:tblPr>
      <w:tblGrid>
        <w:gridCol w:w="3192"/>
        <w:gridCol w:w="3192"/>
        <w:gridCol w:w="3192"/>
      </w:tblGrid>
      <w:tr w:rsidR="00DD1E49" w:rsidRPr="00DD1E49" w:rsidTr="00346C61">
        <w:tc>
          <w:tcPr>
            <w:tcW w:w="9576" w:type="dxa"/>
            <w:gridSpan w:val="3"/>
          </w:tcPr>
          <w:p w:rsidR="00DD1E49" w:rsidRPr="00DD1E49" w:rsidRDefault="00DD1E49" w:rsidP="00DD1E49">
            <w:pPr>
              <w:jc w:val="center"/>
              <w:rPr>
                <w:rFonts w:asciiTheme="minorHAnsi" w:hAnsiTheme="minorHAnsi"/>
                <w:b/>
                <w:sz w:val="22"/>
                <w:szCs w:val="22"/>
              </w:rPr>
            </w:pPr>
            <w:r w:rsidRPr="00DD1E49">
              <w:rPr>
                <w:rFonts w:asciiTheme="minorHAnsi" w:hAnsiTheme="minorHAnsi"/>
                <w:b/>
                <w:sz w:val="22"/>
                <w:szCs w:val="22"/>
              </w:rPr>
              <w:t>Process of review and consultation:</w:t>
            </w:r>
          </w:p>
          <w:p w:rsidR="009F2BB8" w:rsidRDefault="00DD1E49" w:rsidP="00DD1E49">
            <w:pPr>
              <w:jc w:val="center"/>
              <w:rPr>
                <w:rFonts w:asciiTheme="minorHAnsi" w:hAnsiTheme="minorHAnsi"/>
                <w:sz w:val="22"/>
                <w:szCs w:val="22"/>
              </w:rPr>
            </w:pPr>
            <w:r w:rsidRPr="00DD1E49">
              <w:rPr>
                <w:rFonts w:asciiTheme="minorHAnsi" w:hAnsiTheme="minorHAnsi"/>
                <w:sz w:val="22"/>
                <w:szCs w:val="22"/>
              </w:rPr>
              <w:t xml:space="preserve">Copied public health </w:t>
            </w:r>
            <w:proofErr w:type="spellStart"/>
            <w:r w:rsidRPr="00DD1E49">
              <w:rPr>
                <w:rFonts w:asciiTheme="minorHAnsi" w:hAnsiTheme="minorHAnsi"/>
                <w:sz w:val="22"/>
                <w:szCs w:val="22"/>
              </w:rPr>
              <w:t>programme</w:t>
            </w:r>
            <w:proofErr w:type="spellEnd"/>
            <w:r w:rsidRPr="00DD1E49">
              <w:rPr>
                <w:rFonts w:asciiTheme="minorHAnsi" w:hAnsiTheme="minorHAnsi"/>
                <w:sz w:val="22"/>
                <w:szCs w:val="22"/>
              </w:rPr>
              <w:t xml:space="preserve"> process</w:t>
            </w:r>
            <w:r w:rsidR="009F2BB8">
              <w:rPr>
                <w:rFonts w:asciiTheme="minorHAnsi" w:hAnsiTheme="minorHAnsi"/>
                <w:sz w:val="22"/>
                <w:szCs w:val="22"/>
              </w:rPr>
              <w:t xml:space="preserve"> </w:t>
            </w:r>
          </w:p>
          <w:p w:rsidR="00346C61" w:rsidRPr="00DD1E49" w:rsidRDefault="009F2BB8" w:rsidP="009F2BB8">
            <w:pPr>
              <w:jc w:val="center"/>
              <w:rPr>
                <w:rFonts w:asciiTheme="minorHAnsi" w:hAnsiTheme="minorHAnsi"/>
                <w:sz w:val="22"/>
                <w:szCs w:val="22"/>
              </w:rPr>
            </w:pPr>
            <w:r>
              <w:rPr>
                <w:rFonts w:asciiTheme="minorHAnsi" w:hAnsiTheme="minorHAnsi"/>
                <w:sz w:val="22"/>
                <w:szCs w:val="22"/>
              </w:rPr>
              <w:t>– collaboration with health sector experts,</w:t>
            </w:r>
            <w:r w:rsidR="001E4E27">
              <w:rPr>
                <w:rFonts w:asciiTheme="minorHAnsi" w:hAnsiTheme="minorHAnsi"/>
                <w:sz w:val="22"/>
                <w:szCs w:val="22"/>
              </w:rPr>
              <w:t xml:space="preserve"> TA providers/researchers,</w:t>
            </w:r>
            <w:r>
              <w:rPr>
                <w:rFonts w:asciiTheme="minorHAnsi" w:hAnsiTheme="minorHAnsi"/>
                <w:sz w:val="22"/>
                <w:szCs w:val="22"/>
              </w:rPr>
              <w:t xml:space="preserve"> investors and practitioners</w:t>
            </w:r>
          </w:p>
        </w:tc>
      </w:tr>
      <w:tr w:rsidR="00311682" w:rsidRPr="00DD1E49" w:rsidTr="00DE6A77">
        <w:tc>
          <w:tcPr>
            <w:tcW w:w="9576" w:type="dxa"/>
            <w:gridSpan w:val="3"/>
            <w:shd w:val="clear" w:color="auto" w:fill="0070C0"/>
          </w:tcPr>
          <w:p w:rsidR="00311682" w:rsidRPr="005C7D46" w:rsidRDefault="00311682" w:rsidP="00311682">
            <w:pPr>
              <w:jc w:val="center"/>
              <w:rPr>
                <w:rFonts w:asciiTheme="minorHAnsi" w:hAnsiTheme="minorHAnsi"/>
                <w:b/>
                <w:color w:val="FFFFFF" w:themeColor="background1"/>
                <w:sz w:val="22"/>
                <w:szCs w:val="22"/>
              </w:rPr>
            </w:pPr>
            <w:r w:rsidRPr="005C7D46">
              <w:rPr>
                <w:rFonts w:asciiTheme="minorHAnsi" w:hAnsiTheme="minorHAnsi"/>
                <w:b/>
                <w:color w:val="FFFFFF" w:themeColor="background1"/>
                <w:sz w:val="22"/>
                <w:szCs w:val="22"/>
              </w:rPr>
              <w:lastRenderedPageBreak/>
              <w:t>Criteria for selection of indicators</w:t>
            </w:r>
          </w:p>
        </w:tc>
      </w:tr>
      <w:tr w:rsidR="00311682" w:rsidRPr="00DD1E49" w:rsidTr="00DE6A77">
        <w:tc>
          <w:tcPr>
            <w:tcW w:w="3192" w:type="dxa"/>
            <w:shd w:val="clear" w:color="auto" w:fill="0070C0"/>
          </w:tcPr>
          <w:p w:rsidR="00311682" w:rsidRPr="005C7D46" w:rsidRDefault="00311682" w:rsidP="00AD1DAD">
            <w:pPr>
              <w:tabs>
                <w:tab w:val="left" w:pos="1560"/>
              </w:tabs>
              <w:jc w:val="center"/>
              <w:rPr>
                <w:rFonts w:asciiTheme="minorHAnsi" w:hAnsiTheme="minorHAnsi"/>
                <w:b/>
                <w:color w:val="FFFFFF" w:themeColor="background1"/>
                <w:sz w:val="22"/>
                <w:szCs w:val="22"/>
              </w:rPr>
            </w:pPr>
            <w:r w:rsidRPr="005C7D46">
              <w:rPr>
                <w:rFonts w:asciiTheme="minorHAnsi" w:hAnsiTheme="minorHAnsi"/>
                <w:b/>
                <w:color w:val="FFFFFF" w:themeColor="background1"/>
                <w:sz w:val="22"/>
                <w:szCs w:val="22"/>
              </w:rPr>
              <w:t>Feasibility</w:t>
            </w:r>
          </w:p>
        </w:tc>
        <w:tc>
          <w:tcPr>
            <w:tcW w:w="3192" w:type="dxa"/>
            <w:shd w:val="clear" w:color="auto" w:fill="0070C0"/>
          </w:tcPr>
          <w:p w:rsidR="00311682" w:rsidRPr="005C7D46" w:rsidRDefault="00311682" w:rsidP="00AD1DAD">
            <w:pPr>
              <w:jc w:val="center"/>
              <w:rPr>
                <w:rFonts w:asciiTheme="minorHAnsi" w:hAnsiTheme="minorHAnsi"/>
                <w:b/>
                <w:color w:val="FFFFFF" w:themeColor="background1"/>
                <w:sz w:val="22"/>
                <w:szCs w:val="22"/>
              </w:rPr>
            </w:pPr>
            <w:r w:rsidRPr="005C7D46">
              <w:rPr>
                <w:rFonts w:asciiTheme="minorHAnsi" w:hAnsiTheme="minorHAnsi"/>
                <w:b/>
                <w:color w:val="FFFFFF" w:themeColor="background1"/>
                <w:sz w:val="22"/>
                <w:szCs w:val="22"/>
              </w:rPr>
              <w:t>Usability</w:t>
            </w:r>
          </w:p>
        </w:tc>
        <w:tc>
          <w:tcPr>
            <w:tcW w:w="3192" w:type="dxa"/>
            <w:shd w:val="clear" w:color="auto" w:fill="0070C0"/>
          </w:tcPr>
          <w:p w:rsidR="00311682" w:rsidRPr="005C7D46" w:rsidRDefault="00311682" w:rsidP="00AD1DAD">
            <w:pPr>
              <w:jc w:val="center"/>
              <w:rPr>
                <w:rFonts w:asciiTheme="minorHAnsi" w:hAnsiTheme="minorHAnsi"/>
                <w:b/>
                <w:color w:val="FFFFFF" w:themeColor="background1"/>
                <w:sz w:val="22"/>
                <w:szCs w:val="22"/>
              </w:rPr>
            </w:pPr>
            <w:r w:rsidRPr="005C7D46">
              <w:rPr>
                <w:rFonts w:asciiTheme="minorHAnsi" w:hAnsiTheme="minorHAnsi"/>
                <w:b/>
                <w:color w:val="FFFFFF" w:themeColor="background1"/>
                <w:sz w:val="22"/>
                <w:szCs w:val="22"/>
              </w:rPr>
              <w:t>Comparability</w:t>
            </w:r>
          </w:p>
        </w:tc>
      </w:tr>
      <w:tr w:rsidR="00311682" w:rsidRPr="00DD1E49" w:rsidTr="00311682">
        <w:tc>
          <w:tcPr>
            <w:tcW w:w="3192" w:type="dxa"/>
          </w:tcPr>
          <w:p w:rsidR="00311682" w:rsidRPr="00DD1E49" w:rsidRDefault="00311682" w:rsidP="003F762E">
            <w:pPr>
              <w:rPr>
                <w:rFonts w:asciiTheme="minorHAnsi" w:hAnsiTheme="minorHAnsi"/>
                <w:sz w:val="22"/>
                <w:szCs w:val="22"/>
              </w:rPr>
            </w:pPr>
            <w:r w:rsidRPr="00DD1E49">
              <w:rPr>
                <w:rFonts w:asciiTheme="minorHAnsi" w:hAnsiTheme="minorHAnsi"/>
                <w:sz w:val="22"/>
                <w:szCs w:val="22"/>
              </w:rPr>
              <w:t xml:space="preserve">Can be collected and </w:t>
            </w:r>
            <w:proofErr w:type="spellStart"/>
            <w:r w:rsidRPr="00DD1E49">
              <w:rPr>
                <w:rFonts w:asciiTheme="minorHAnsi" w:hAnsiTheme="minorHAnsi"/>
                <w:sz w:val="22"/>
                <w:szCs w:val="22"/>
              </w:rPr>
              <w:t>analysed</w:t>
            </w:r>
            <w:proofErr w:type="spellEnd"/>
            <w:r w:rsidRPr="00DD1E49">
              <w:rPr>
                <w:rFonts w:asciiTheme="minorHAnsi" w:hAnsiTheme="minorHAnsi"/>
                <w:sz w:val="22"/>
                <w:szCs w:val="22"/>
              </w:rPr>
              <w:t xml:space="preserve"> by an  FSP;  reported in client survey</w:t>
            </w:r>
          </w:p>
        </w:tc>
        <w:tc>
          <w:tcPr>
            <w:tcW w:w="3192" w:type="dxa"/>
          </w:tcPr>
          <w:p w:rsidR="00311682" w:rsidRPr="00DD1E49" w:rsidRDefault="00AD1DAD" w:rsidP="003F762E">
            <w:pPr>
              <w:rPr>
                <w:rFonts w:asciiTheme="minorHAnsi" w:hAnsiTheme="minorHAnsi"/>
                <w:sz w:val="22"/>
                <w:szCs w:val="22"/>
              </w:rPr>
            </w:pPr>
            <w:r w:rsidRPr="00DD1E49">
              <w:rPr>
                <w:rFonts w:asciiTheme="minorHAnsi" w:hAnsiTheme="minorHAnsi"/>
                <w:sz w:val="22"/>
                <w:szCs w:val="22"/>
              </w:rPr>
              <w:t>Can change in short term</w:t>
            </w:r>
          </w:p>
          <w:p w:rsidR="00AD1DAD" w:rsidRPr="00DD1E49" w:rsidRDefault="00AD1DAD" w:rsidP="003F762E">
            <w:pPr>
              <w:rPr>
                <w:rFonts w:asciiTheme="minorHAnsi" w:hAnsiTheme="minorHAnsi"/>
                <w:sz w:val="22"/>
                <w:szCs w:val="22"/>
              </w:rPr>
            </w:pPr>
            <w:r w:rsidRPr="00DD1E49">
              <w:rPr>
                <w:rFonts w:asciiTheme="minorHAnsi" w:hAnsiTheme="minorHAnsi"/>
                <w:sz w:val="22"/>
                <w:szCs w:val="22"/>
              </w:rPr>
              <w:t>Applicable with or without specific health intervention</w:t>
            </w:r>
          </w:p>
        </w:tc>
        <w:tc>
          <w:tcPr>
            <w:tcW w:w="3192" w:type="dxa"/>
          </w:tcPr>
          <w:p w:rsidR="00311682" w:rsidRPr="00DD1E49" w:rsidRDefault="00AD1DAD" w:rsidP="003F762E">
            <w:pPr>
              <w:rPr>
                <w:rFonts w:asciiTheme="minorHAnsi" w:hAnsiTheme="minorHAnsi"/>
                <w:sz w:val="22"/>
                <w:szCs w:val="22"/>
              </w:rPr>
            </w:pPr>
            <w:r w:rsidRPr="00DD1E49">
              <w:rPr>
                <w:rFonts w:asciiTheme="minorHAnsi" w:hAnsiTheme="minorHAnsi"/>
                <w:sz w:val="22"/>
                <w:szCs w:val="22"/>
              </w:rPr>
              <w:t>Relevant in different contexts</w:t>
            </w:r>
          </w:p>
          <w:p w:rsidR="00AD1DAD" w:rsidRPr="00DD1E49" w:rsidRDefault="00AD1DAD" w:rsidP="003F762E">
            <w:pPr>
              <w:rPr>
                <w:rFonts w:asciiTheme="minorHAnsi" w:hAnsiTheme="minorHAnsi"/>
                <w:sz w:val="22"/>
                <w:szCs w:val="22"/>
              </w:rPr>
            </w:pPr>
            <w:r w:rsidRPr="00DD1E49">
              <w:rPr>
                <w:rFonts w:asciiTheme="minorHAnsi" w:hAnsiTheme="minorHAnsi"/>
                <w:sz w:val="22"/>
                <w:szCs w:val="22"/>
              </w:rPr>
              <w:t>Can be benchmarked to other secondary data</w:t>
            </w:r>
          </w:p>
        </w:tc>
      </w:tr>
      <w:tr w:rsidR="00311682" w:rsidRPr="00DD1E49" w:rsidTr="00DE6A77">
        <w:tc>
          <w:tcPr>
            <w:tcW w:w="9576" w:type="dxa"/>
            <w:gridSpan w:val="3"/>
            <w:shd w:val="clear" w:color="auto" w:fill="0070C0"/>
          </w:tcPr>
          <w:p w:rsidR="00311682" w:rsidRPr="005C7D46" w:rsidRDefault="00311682" w:rsidP="00311682">
            <w:pPr>
              <w:jc w:val="center"/>
              <w:rPr>
                <w:rFonts w:asciiTheme="minorHAnsi" w:hAnsiTheme="minorHAnsi"/>
                <w:b/>
                <w:color w:val="FFFFFF" w:themeColor="background1"/>
                <w:sz w:val="22"/>
                <w:szCs w:val="22"/>
              </w:rPr>
            </w:pPr>
            <w:r w:rsidRPr="005C7D46">
              <w:rPr>
                <w:rFonts w:asciiTheme="minorHAnsi" w:hAnsiTheme="minorHAnsi"/>
                <w:b/>
                <w:color w:val="FFFFFF" w:themeColor="background1"/>
                <w:sz w:val="22"/>
                <w:szCs w:val="22"/>
              </w:rPr>
              <w:t>Health outcomes – areas/themes</w:t>
            </w:r>
          </w:p>
        </w:tc>
      </w:tr>
      <w:tr w:rsidR="00311682" w:rsidRPr="00DD1E49" w:rsidTr="00346C61">
        <w:tc>
          <w:tcPr>
            <w:tcW w:w="9576" w:type="dxa"/>
            <w:gridSpan w:val="3"/>
          </w:tcPr>
          <w:p w:rsidR="00DD1E49" w:rsidRDefault="00311682" w:rsidP="00DD1E49">
            <w:pPr>
              <w:jc w:val="center"/>
              <w:rPr>
                <w:rFonts w:asciiTheme="minorHAnsi" w:hAnsiTheme="minorHAnsi"/>
                <w:sz w:val="22"/>
                <w:szCs w:val="22"/>
              </w:rPr>
            </w:pPr>
            <w:r w:rsidRPr="00DD1E49">
              <w:rPr>
                <w:rFonts w:asciiTheme="minorHAnsi" w:hAnsiTheme="minorHAnsi"/>
                <w:sz w:val="22"/>
                <w:szCs w:val="22"/>
              </w:rPr>
              <w:t xml:space="preserve">Poverty measurement, food security and nutrition, </w:t>
            </w:r>
          </w:p>
          <w:p w:rsidR="00311682" w:rsidRPr="00DD1E49" w:rsidRDefault="00311682" w:rsidP="00DD1E49">
            <w:pPr>
              <w:jc w:val="center"/>
              <w:rPr>
                <w:rFonts w:asciiTheme="minorHAnsi" w:hAnsiTheme="minorHAnsi"/>
                <w:sz w:val="22"/>
                <w:szCs w:val="22"/>
              </w:rPr>
            </w:pPr>
            <w:r w:rsidRPr="00DD1E49">
              <w:rPr>
                <w:rFonts w:asciiTheme="minorHAnsi" w:hAnsiTheme="minorHAnsi"/>
                <w:sz w:val="22"/>
                <w:szCs w:val="22"/>
              </w:rPr>
              <w:t xml:space="preserve">preventive health care, </w:t>
            </w:r>
            <w:r w:rsidR="00AD1DAD" w:rsidRPr="00DD1E49">
              <w:rPr>
                <w:rFonts w:asciiTheme="minorHAnsi" w:hAnsiTheme="minorHAnsi"/>
                <w:sz w:val="22"/>
                <w:szCs w:val="22"/>
              </w:rPr>
              <w:t xml:space="preserve">ability to access curative health care, </w:t>
            </w:r>
            <w:r w:rsidRPr="00DD1E49">
              <w:rPr>
                <w:rFonts w:asciiTheme="minorHAnsi" w:hAnsiTheme="minorHAnsi"/>
                <w:sz w:val="22"/>
                <w:szCs w:val="22"/>
              </w:rPr>
              <w:t>water and sanitation</w:t>
            </w:r>
            <w:r w:rsidR="00AD1DAD" w:rsidRPr="00DD1E49">
              <w:rPr>
                <w:rFonts w:asciiTheme="minorHAnsi" w:hAnsiTheme="minorHAnsi"/>
                <w:sz w:val="22"/>
                <w:szCs w:val="22"/>
              </w:rPr>
              <w:t>, attitudes</w:t>
            </w:r>
          </w:p>
        </w:tc>
      </w:tr>
    </w:tbl>
    <w:p w:rsidR="00267E4F" w:rsidRPr="00267E4F" w:rsidRDefault="00267E4F" w:rsidP="00C7210C">
      <w:pPr>
        <w:rPr>
          <w:rFonts w:asciiTheme="minorHAnsi" w:hAnsiTheme="minorHAnsi"/>
          <w:sz w:val="16"/>
          <w:szCs w:val="16"/>
        </w:rPr>
      </w:pPr>
    </w:p>
    <w:p w:rsidR="00C7210C" w:rsidRPr="00267E4F" w:rsidRDefault="00DD1E49" w:rsidP="00C7210C">
      <w:pPr>
        <w:rPr>
          <w:rFonts w:asciiTheme="minorHAnsi" w:hAnsiTheme="minorHAnsi"/>
        </w:rPr>
      </w:pPr>
      <w:r w:rsidRPr="00267E4F">
        <w:rPr>
          <w:rFonts w:asciiTheme="minorHAnsi" w:hAnsiTheme="minorHAnsi"/>
        </w:rPr>
        <w:t xml:space="preserve">From a </w:t>
      </w:r>
      <w:r w:rsidRPr="00267E4F">
        <w:rPr>
          <w:rFonts w:asciiTheme="minorHAnsi" w:hAnsiTheme="minorHAnsi"/>
          <w:b/>
        </w:rPr>
        <w:t xml:space="preserve">pilot with 4 FSPs </w:t>
      </w:r>
      <w:r w:rsidRPr="00267E4F">
        <w:rPr>
          <w:rFonts w:asciiTheme="minorHAnsi" w:hAnsiTheme="minorHAnsi"/>
        </w:rPr>
        <w:t xml:space="preserve">(in Peru, India, The Philippines) </w:t>
      </w:r>
      <w:r w:rsidR="00267E4F" w:rsidRPr="00267E4F">
        <w:rPr>
          <w:rFonts w:asciiTheme="minorHAnsi" w:hAnsiTheme="minorHAnsi"/>
        </w:rPr>
        <w:t xml:space="preserve">some of the </w:t>
      </w:r>
      <w:r w:rsidR="000730AA" w:rsidRPr="00267E4F">
        <w:rPr>
          <w:rFonts w:asciiTheme="minorHAnsi" w:hAnsiTheme="minorHAnsi"/>
        </w:rPr>
        <w:t>lessons</w:t>
      </w:r>
      <w:r w:rsidRPr="00267E4F">
        <w:rPr>
          <w:rFonts w:asciiTheme="minorHAnsi" w:hAnsiTheme="minorHAnsi"/>
        </w:rPr>
        <w:t xml:space="preserve"> are</w:t>
      </w:r>
      <w:r w:rsidR="000730AA" w:rsidRPr="00267E4F">
        <w:rPr>
          <w:rFonts w:asciiTheme="minorHAnsi" w:hAnsiTheme="minorHAnsi"/>
        </w:rPr>
        <w:t xml:space="preserve">:  </w:t>
      </w:r>
    </w:p>
    <w:p w:rsidR="000730AA" w:rsidRPr="000730AA" w:rsidRDefault="00267E4F" w:rsidP="00F17197">
      <w:pPr>
        <w:pStyle w:val="ListParagraph"/>
        <w:numPr>
          <w:ilvl w:val="0"/>
          <w:numId w:val="11"/>
        </w:numPr>
        <w:ind w:left="540"/>
        <w:rPr>
          <w:rFonts w:asciiTheme="minorHAnsi" w:hAnsiTheme="minorHAnsi"/>
          <w:i/>
        </w:rPr>
      </w:pPr>
      <w:r>
        <w:rPr>
          <w:rFonts w:asciiTheme="minorHAnsi" w:hAnsiTheme="minorHAnsi"/>
        </w:rPr>
        <w:t xml:space="preserve">Indicators for defined themes need to be carefully adapted </w:t>
      </w:r>
      <w:r w:rsidR="000730AA" w:rsidRPr="000730AA">
        <w:rPr>
          <w:rFonts w:asciiTheme="minorHAnsi" w:hAnsiTheme="minorHAnsi"/>
        </w:rPr>
        <w:t xml:space="preserve">to </w:t>
      </w:r>
      <w:r w:rsidR="00DD1E49">
        <w:rPr>
          <w:rFonts w:asciiTheme="minorHAnsi" w:hAnsiTheme="minorHAnsi"/>
        </w:rPr>
        <w:t>local c</w:t>
      </w:r>
      <w:r w:rsidR="000730AA" w:rsidRPr="000730AA">
        <w:rPr>
          <w:rFonts w:asciiTheme="minorHAnsi" w:hAnsiTheme="minorHAnsi"/>
        </w:rPr>
        <w:t>ontexts</w:t>
      </w:r>
      <w:r w:rsidR="00DD1E49">
        <w:rPr>
          <w:rFonts w:asciiTheme="minorHAnsi" w:hAnsiTheme="minorHAnsi"/>
        </w:rPr>
        <w:t xml:space="preserve"> (</w:t>
      </w:r>
      <w:r>
        <w:rPr>
          <w:rFonts w:asciiTheme="minorHAnsi" w:hAnsiTheme="minorHAnsi"/>
        </w:rPr>
        <w:t>just as PPI indicators are different in different countries whilst benchmarking against defined poverty lines</w:t>
      </w:r>
      <w:r w:rsidR="00DD1E49">
        <w:rPr>
          <w:rFonts w:asciiTheme="minorHAnsi" w:hAnsiTheme="minorHAnsi"/>
        </w:rPr>
        <w:t>)</w:t>
      </w:r>
      <w:r w:rsidR="000730AA" w:rsidRPr="000730AA">
        <w:rPr>
          <w:rFonts w:asciiTheme="minorHAnsi" w:hAnsiTheme="minorHAnsi"/>
        </w:rPr>
        <w:t xml:space="preserve">  </w:t>
      </w:r>
      <w:r w:rsidR="00F17197" w:rsidRPr="000730AA">
        <w:rPr>
          <w:rFonts w:asciiTheme="minorHAnsi" w:hAnsiTheme="minorHAnsi"/>
        </w:rPr>
        <w:t xml:space="preserve"> </w:t>
      </w:r>
    </w:p>
    <w:p w:rsidR="000730AA" w:rsidRPr="005548B5" w:rsidRDefault="000730AA" w:rsidP="00F17197">
      <w:pPr>
        <w:pStyle w:val="ListParagraph"/>
        <w:numPr>
          <w:ilvl w:val="0"/>
          <w:numId w:val="11"/>
        </w:numPr>
        <w:ind w:left="540"/>
        <w:rPr>
          <w:rFonts w:asciiTheme="minorHAnsi" w:hAnsiTheme="minorHAnsi"/>
          <w:i/>
        </w:rPr>
      </w:pPr>
      <w:r w:rsidRPr="005548B5">
        <w:rPr>
          <w:rFonts w:asciiTheme="minorHAnsi" w:hAnsiTheme="minorHAnsi"/>
        </w:rPr>
        <w:t>I</w:t>
      </w:r>
      <w:r w:rsidR="009D526E" w:rsidRPr="005548B5">
        <w:rPr>
          <w:rFonts w:asciiTheme="minorHAnsi" w:hAnsiTheme="minorHAnsi"/>
        </w:rPr>
        <w:t>ndicators w</w:t>
      </w:r>
      <w:r w:rsidRPr="005548B5">
        <w:rPr>
          <w:rFonts w:asciiTheme="minorHAnsi" w:hAnsiTheme="minorHAnsi"/>
        </w:rPr>
        <w:t>ith high baseline values (&gt;80%) are not useful to track over time</w:t>
      </w:r>
    </w:p>
    <w:p w:rsidR="005548B5" w:rsidRPr="0058509E" w:rsidRDefault="00267E4F" w:rsidP="005548B5">
      <w:pPr>
        <w:pStyle w:val="ListParagraph"/>
        <w:numPr>
          <w:ilvl w:val="0"/>
          <w:numId w:val="11"/>
        </w:numPr>
        <w:ind w:left="540"/>
        <w:rPr>
          <w:rFonts w:asciiTheme="minorHAnsi" w:hAnsiTheme="minorHAnsi"/>
          <w:i/>
        </w:rPr>
      </w:pPr>
      <w:r>
        <w:rPr>
          <w:rFonts w:asciiTheme="minorHAnsi" w:hAnsiTheme="minorHAnsi"/>
        </w:rPr>
        <w:t>B</w:t>
      </w:r>
      <w:r w:rsidR="005548B5" w:rsidRPr="0058509E">
        <w:rPr>
          <w:rFonts w:asciiTheme="minorHAnsi" w:hAnsiTheme="minorHAnsi"/>
        </w:rPr>
        <w:t xml:space="preserve">uild </w:t>
      </w:r>
      <w:r w:rsidR="005548B5">
        <w:rPr>
          <w:rFonts w:asciiTheme="minorHAnsi" w:hAnsiTheme="minorHAnsi"/>
        </w:rPr>
        <w:t>new</w:t>
      </w:r>
      <w:r w:rsidR="005548B5" w:rsidRPr="0058509E">
        <w:rPr>
          <w:rFonts w:asciiTheme="minorHAnsi" w:hAnsiTheme="minorHAnsi"/>
        </w:rPr>
        <w:t xml:space="preserve"> indicators into the </w:t>
      </w:r>
      <w:r w:rsidR="005548B5">
        <w:rPr>
          <w:rFonts w:asciiTheme="minorHAnsi" w:hAnsiTheme="minorHAnsi"/>
        </w:rPr>
        <w:t xml:space="preserve">FSP's existing </w:t>
      </w:r>
      <w:r w:rsidR="005548B5" w:rsidRPr="0058509E">
        <w:rPr>
          <w:rFonts w:asciiTheme="minorHAnsi" w:hAnsiTheme="minorHAnsi"/>
        </w:rPr>
        <w:t xml:space="preserve">data collection process </w:t>
      </w:r>
      <w:r>
        <w:rPr>
          <w:rFonts w:asciiTheme="minorHAnsi" w:hAnsiTheme="minorHAnsi"/>
        </w:rPr>
        <w:t xml:space="preserve">rather </w:t>
      </w:r>
      <w:r w:rsidR="005548B5">
        <w:rPr>
          <w:rFonts w:asciiTheme="minorHAnsi" w:hAnsiTheme="minorHAnsi"/>
        </w:rPr>
        <w:t>than create a new system</w:t>
      </w:r>
      <w:r w:rsidR="005548B5" w:rsidRPr="0058509E">
        <w:rPr>
          <w:rFonts w:asciiTheme="minorHAnsi" w:hAnsiTheme="minorHAnsi"/>
        </w:rPr>
        <w:t>.</w:t>
      </w:r>
    </w:p>
    <w:p w:rsidR="00005A1E" w:rsidRPr="0058509E" w:rsidRDefault="005548B5" w:rsidP="00F17197">
      <w:pPr>
        <w:pStyle w:val="ListParagraph"/>
        <w:numPr>
          <w:ilvl w:val="0"/>
          <w:numId w:val="11"/>
        </w:numPr>
        <w:ind w:left="540"/>
        <w:rPr>
          <w:rFonts w:asciiTheme="minorHAnsi" w:hAnsiTheme="minorHAnsi"/>
          <w:i/>
        </w:rPr>
      </w:pPr>
      <w:r>
        <w:rPr>
          <w:rFonts w:asciiTheme="minorHAnsi" w:hAnsiTheme="minorHAnsi"/>
        </w:rPr>
        <w:t xml:space="preserve">Monitoring and understanding changes over time requires patience, reflection and iteration. </w:t>
      </w:r>
    </w:p>
    <w:p w:rsidR="00AC05FD" w:rsidRPr="0058509E" w:rsidRDefault="00AC05FD">
      <w:pPr>
        <w:rPr>
          <w:rFonts w:asciiTheme="minorHAnsi" w:hAnsiTheme="minorHAnsi"/>
        </w:rPr>
      </w:pPr>
    </w:p>
    <w:p w:rsidR="00951CF8" w:rsidRPr="001D2E3D" w:rsidRDefault="005C7D46" w:rsidP="00951CF8">
      <w:pPr>
        <w:rPr>
          <w:rFonts w:asciiTheme="minorHAnsi" w:hAnsiTheme="minorHAnsi"/>
          <w:b/>
        </w:rPr>
      </w:pPr>
      <w:r>
        <w:rPr>
          <w:rFonts w:asciiTheme="minorHAnsi" w:hAnsiTheme="minorHAnsi"/>
          <w:b/>
        </w:rPr>
        <w:t xml:space="preserve">Building on the FFH work – to develop a menu of </w:t>
      </w:r>
      <w:r w:rsidR="001D2E3D" w:rsidRPr="001D2E3D">
        <w:rPr>
          <w:rFonts w:asciiTheme="minorHAnsi" w:hAnsiTheme="minorHAnsi"/>
          <w:b/>
        </w:rPr>
        <w:t>outcomes indicators</w:t>
      </w:r>
    </w:p>
    <w:p w:rsidR="005548B5" w:rsidRPr="005548B5" w:rsidRDefault="005548B5" w:rsidP="005548B5">
      <w:pPr>
        <w:rPr>
          <w:rFonts w:asciiTheme="minorHAnsi" w:hAnsiTheme="minorHAnsi"/>
          <w:lang w:val="en-GB"/>
        </w:rPr>
      </w:pPr>
      <w:r w:rsidRPr="005548B5">
        <w:rPr>
          <w:rFonts w:asciiTheme="minorHAnsi" w:hAnsiTheme="minorHAnsi"/>
        </w:rPr>
        <w:t>T</w:t>
      </w:r>
      <w:r w:rsidR="00951CF8" w:rsidRPr="005548B5">
        <w:rPr>
          <w:rFonts w:asciiTheme="minorHAnsi" w:hAnsiTheme="minorHAnsi"/>
        </w:rPr>
        <w:t xml:space="preserve">he </w:t>
      </w:r>
      <w:r w:rsidR="00951CF8" w:rsidRPr="00346C61">
        <w:rPr>
          <w:rFonts w:asciiTheme="minorHAnsi" w:hAnsiTheme="minorHAnsi"/>
          <w:b/>
        </w:rPr>
        <w:t>MCWG</w:t>
      </w:r>
      <w:r w:rsidR="00951CF8" w:rsidRPr="005548B5">
        <w:rPr>
          <w:rFonts w:asciiTheme="minorHAnsi" w:hAnsiTheme="minorHAnsi"/>
        </w:rPr>
        <w:t xml:space="preserve"> </w:t>
      </w:r>
      <w:r w:rsidRPr="005548B5">
        <w:rPr>
          <w:rFonts w:asciiTheme="minorHAnsi" w:hAnsiTheme="minorHAnsi"/>
        </w:rPr>
        <w:t xml:space="preserve">is planning to develop and test a common core measurement system designed to </w:t>
      </w:r>
    </w:p>
    <w:p w:rsidR="00346C61" w:rsidRPr="005548B5" w:rsidRDefault="00346C61" w:rsidP="005C7D46">
      <w:pPr>
        <w:pStyle w:val="ListParagraph"/>
        <w:numPr>
          <w:ilvl w:val="0"/>
          <w:numId w:val="16"/>
        </w:numPr>
        <w:rPr>
          <w:rFonts w:asciiTheme="minorHAnsi" w:hAnsiTheme="minorHAnsi"/>
          <w:lang w:val="en-GB"/>
        </w:rPr>
      </w:pPr>
      <w:r w:rsidRPr="005548B5">
        <w:rPr>
          <w:rFonts w:asciiTheme="minorHAnsi" w:hAnsiTheme="minorHAnsi"/>
          <w:lang w:val="en-GB"/>
        </w:rPr>
        <w:t>Be cost-effectively embedded within an MFI’s operations</w:t>
      </w:r>
    </w:p>
    <w:p w:rsidR="00346C61" w:rsidRPr="005548B5" w:rsidRDefault="00346C61" w:rsidP="005C7D46">
      <w:pPr>
        <w:numPr>
          <w:ilvl w:val="0"/>
          <w:numId w:val="16"/>
        </w:numPr>
        <w:rPr>
          <w:rFonts w:asciiTheme="minorHAnsi" w:hAnsiTheme="minorHAnsi"/>
          <w:lang w:val="en-GB"/>
        </w:rPr>
      </w:pPr>
      <w:r w:rsidRPr="005548B5">
        <w:rPr>
          <w:rFonts w:asciiTheme="minorHAnsi" w:hAnsiTheme="minorHAnsi"/>
          <w:lang w:val="en-GB"/>
        </w:rPr>
        <w:t>Use industry-standard indicators and metrics (</w:t>
      </w:r>
      <w:r w:rsidR="00267E4F">
        <w:rPr>
          <w:rFonts w:asciiTheme="minorHAnsi" w:hAnsiTheme="minorHAnsi"/>
          <w:lang w:val="en-GB"/>
        </w:rPr>
        <w:t xml:space="preserve">e.g. </w:t>
      </w:r>
      <w:r w:rsidRPr="005548B5">
        <w:rPr>
          <w:rFonts w:asciiTheme="minorHAnsi" w:hAnsiTheme="minorHAnsi"/>
          <w:lang w:val="en-GB"/>
        </w:rPr>
        <w:t>PPI)</w:t>
      </w:r>
    </w:p>
    <w:p w:rsidR="00346C61" w:rsidRPr="005548B5" w:rsidRDefault="00346C61" w:rsidP="005C7D46">
      <w:pPr>
        <w:numPr>
          <w:ilvl w:val="0"/>
          <w:numId w:val="16"/>
        </w:numPr>
        <w:rPr>
          <w:rFonts w:asciiTheme="minorHAnsi" w:hAnsiTheme="minorHAnsi"/>
          <w:lang w:val="en-GB"/>
        </w:rPr>
      </w:pPr>
      <w:r w:rsidRPr="005548B5">
        <w:rPr>
          <w:rFonts w:asciiTheme="minorHAnsi" w:hAnsiTheme="minorHAnsi"/>
          <w:lang w:val="en-GB"/>
        </w:rPr>
        <w:t>Provide affiliated MFIs with actionable client outcome data that can be tracked over time</w:t>
      </w:r>
    </w:p>
    <w:p w:rsidR="00346C61" w:rsidRPr="005548B5" w:rsidRDefault="00346C61" w:rsidP="005C7D46">
      <w:pPr>
        <w:numPr>
          <w:ilvl w:val="0"/>
          <w:numId w:val="16"/>
        </w:numPr>
        <w:rPr>
          <w:rFonts w:asciiTheme="minorHAnsi" w:hAnsiTheme="minorHAnsi"/>
          <w:lang w:val="en-GB"/>
        </w:rPr>
      </w:pPr>
      <w:r w:rsidRPr="005548B5">
        <w:rPr>
          <w:rFonts w:asciiTheme="minorHAnsi" w:hAnsiTheme="minorHAnsi"/>
          <w:lang w:val="en-GB"/>
        </w:rPr>
        <w:t xml:space="preserve">Allow MFIs the flexibility to measure </w:t>
      </w:r>
      <w:r w:rsidR="00267E4F">
        <w:rPr>
          <w:rFonts w:asciiTheme="minorHAnsi" w:hAnsiTheme="minorHAnsi"/>
          <w:lang w:val="en-GB"/>
        </w:rPr>
        <w:t>changes in those cl</w:t>
      </w:r>
      <w:r w:rsidRPr="005548B5">
        <w:rPr>
          <w:rFonts w:asciiTheme="minorHAnsi" w:hAnsiTheme="minorHAnsi"/>
          <w:lang w:val="en-GB"/>
        </w:rPr>
        <w:t xml:space="preserve">ient outcomes they wish to affect using </w:t>
      </w:r>
      <w:r w:rsidR="00267E4F">
        <w:rPr>
          <w:rFonts w:asciiTheme="minorHAnsi" w:hAnsiTheme="minorHAnsi"/>
          <w:lang w:val="en-GB"/>
        </w:rPr>
        <w:t xml:space="preserve">a standard set of </w:t>
      </w:r>
      <w:r w:rsidRPr="005548B5">
        <w:rPr>
          <w:rFonts w:asciiTheme="minorHAnsi" w:hAnsiTheme="minorHAnsi"/>
          <w:lang w:val="en-GB"/>
        </w:rPr>
        <w:t xml:space="preserve">indicators for the </w:t>
      </w:r>
      <w:r w:rsidR="00267E4F">
        <w:rPr>
          <w:rFonts w:asciiTheme="minorHAnsi" w:hAnsiTheme="minorHAnsi"/>
          <w:lang w:val="en-GB"/>
        </w:rPr>
        <w:t xml:space="preserve">defined </w:t>
      </w:r>
      <w:r w:rsidRPr="005548B5">
        <w:rPr>
          <w:rFonts w:asciiTheme="minorHAnsi" w:hAnsiTheme="minorHAnsi"/>
          <w:lang w:val="en-GB"/>
        </w:rPr>
        <w:t>outcomes</w:t>
      </w:r>
    </w:p>
    <w:p w:rsidR="00614C66" w:rsidRDefault="00346C61" w:rsidP="005C7D46">
      <w:pPr>
        <w:numPr>
          <w:ilvl w:val="0"/>
          <w:numId w:val="16"/>
        </w:numPr>
        <w:rPr>
          <w:rFonts w:asciiTheme="minorHAnsi" w:hAnsiTheme="minorHAnsi"/>
          <w:lang w:val="en-GB"/>
        </w:rPr>
      </w:pPr>
      <w:r w:rsidRPr="00614C66">
        <w:rPr>
          <w:rFonts w:asciiTheme="minorHAnsi" w:hAnsiTheme="minorHAnsi"/>
          <w:lang w:val="en-GB"/>
        </w:rPr>
        <w:t xml:space="preserve">Enhance ability to demonstrate </w:t>
      </w:r>
      <w:r w:rsidR="00614C66">
        <w:rPr>
          <w:rFonts w:asciiTheme="minorHAnsi" w:hAnsiTheme="minorHAnsi"/>
          <w:lang w:val="en-GB"/>
        </w:rPr>
        <w:t xml:space="preserve">&amp; </w:t>
      </w:r>
      <w:r w:rsidRPr="00614C66">
        <w:rPr>
          <w:rFonts w:asciiTheme="minorHAnsi" w:hAnsiTheme="minorHAnsi"/>
          <w:lang w:val="en-GB"/>
        </w:rPr>
        <w:t>improve the benefits of R</w:t>
      </w:r>
      <w:r w:rsidR="00614C66" w:rsidRPr="00614C66">
        <w:rPr>
          <w:rFonts w:asciiTheme="minorHAnsi" w:hAnsiTheme="minorHAnsi"/>
          <w:lang w:val="en-GB"/>
        </w:rPr>
        <w:t xml:space="preserve">esponsible Microfinance for </w:t>
      </w:r>
      <w:r w:rsidRPr="00614C66">
        <w:rPr>
          <w:rFonts w:asciiTheme="minorHAnsi" w:hAnsiTheme="minorHAnsi"/>
          <w:lang w:val="en-GB"/>
        </w:rPr>
        <w:t xml:space="preserve">clients </w:t>
      </w:r>
    </w:p>
    <w:p w:rsidR="00346C61" w:rsidRPr="00614C66" w:rsidRDefault="00346C61" w:rsidP="005C7D46">
      <w:pPr>
        <w:numPr>
          <w:ilvl w:val="0"/>
          <w:numId w:val="16"/>
        </w:numPr>
        <w:rPr>
          <w:rFonts w:asciiTheme="minorHAnsi" w:hAnsiTheme="minorHAnsi"/>
          <w:lang w:val="en-GB"/>
        </w:rPr>
      </w:pPr>
      <w:r w:rsidRPr="00614C66">
        <w:rPr>
          <w:rFonts w:asciiTheme="minorHAnsi" w:hAnsiTheme="minorHAnsi"/>
          <w:lang w:val="en-GB"/>
        </w:rPr>
        <w:t>Contribute to the sector’s understanding of client outcomes</w:t>
      </w:r>
      <w:r w:rsidR="005D7657" w:rsidRPr="00614C66">
        <w:rPr>
          <w:rFonts w:asciiTheme="minorHAnsi" w:hAnsiTheme="minorHAnsi"/>
          <w:lang w:val="en-GB"/>
        </w:rPr>
        <w:t>.</w:t>
      </w:r>
    </w:p>
    <w:p w:rsidR="005548B5" w:rsidRPr="009F2BB8" w:rsidRDefault="005548B5" w:rsidP="00391D49">
      <w:pPr>
        <w:rPr>
          <w:rFonts w:asciiTheme="minorHAnsi" w:hAnsiTheme="minorHAnsi"/>
          <w:sz w:val="16"/>
          <w:szCs w:val="16"/>
        </w:rPr>
      </w:pPr>
    </w:p>
    <w:p w:rsidR="00391D49" w:rsidRDefault="00A35110" w:rsidP="00391D49">
      <w:pPr>
        <w:rPr>
          <w:rFonts w:asciiTheme="minorHAnsi" w:hAnsiTheme="minorHAnsi"/>
        </w:rPr>
      </w:pPr>
      <w:r>
        <w:rPr>
          <w:rFonts w:asciiTheme="minorHAnsi" w:hAnsiTheme="minorHAnsi"/>
        </w:rPr>
        <w:t xml:space="preserve">The background to this is a 2014 </w:t>
      </w:r>
      <w:r w:rsidR="00951CF8" w:rsidRPr="0058509E">
        <w:rPr>
          <w:rFonts w:asciiTheme="minorHAnsi" w:hAnsiTheme="minorHAnsi"/>
        </w:rPr>
        <w:t>review</w:t>
      </w:r>
      <w:r w:rsidR="005548B5">
        <w:rPr>
          <w:rFonts w:asciiTheme="minorHAnsi" w:hAnsiTheme="minorHAnsi"/>
        </w:rPr>
        <w:t xml:space="preserve"> of 69 </w:t>
      </w:r>
      <w:r>
        <w:rPr>
          <w:rFonts w:asciiTheme="minorHAnsi" w:hAnsiTheme="minorHAnsi"/>
        </w:rPr>
        <w:t>outcomes research studies by the 8</w:t>
      </w:r>
      <w:r w:rsidR="005C7D46">
        <w:rPr>
          <w:rFonts w:asciiTheme="minorHAnsi" w:hAnsiTheme="minorHAnsi"/>
        </w:rPr>
        <w:t xml:space="preserve"> MCWG</w:t>
      </w:r>
      <w:r>
        <w:rPr>
          <w:rFonts w:asciiTheme="minorHAnsi" w:hAnsiTheme="minorHAnsi"/>
        </w:rPr>
        <w:t xml:space="preserve"> members and their affiliates. This revealed huge variety in indicators, methods and quality.  But it also suggested certain outcome themes and common indicators, which </w:t>
      </w:r>
      <w:r w:rsidR="001D2E3D">
        <w:rPr>
          <w:rFonts w:asciiTheme="minorHAnsi" w:hAnsiTheme="minorHAnsi"/>
        </w:rPr>
        <w:t>can be</w:t>
      </w:r>
      <w:r w:rsidR="00391D49" w:rsidRPr="0058509E">
        <w:rPr>
          <w:rFonts w:asciiTheme="minorHAnsi" w:hAnsiTheme="minorHAnsi"/>
        </w:rPr>
        <w:t xml:space="preserve"> adapted to local context</w:t>
      </w:r>
      <w:r>
        <w:rPr>
          <w:rFonts w:asciiTheme="minorHAnsi" w:hAnsiTheme="minorHAnsi"/>
        </w:rPr>
        <w:t>s</w:t>
      </w:r>
      <w:r w:rsidR="00E954D9">
        <w:rPr>
          <w:rFonts w:asciiTheme="minorHAnsi" w:hAnsiTheme="minorHAnsi"/>
        </w:rPr>
        <w:t>.</w:t>
      </w:r>
    </w:p>
    <w:p w:rsidR="00E954D9" w:rsidRPr="009F2BB8" w:rsidRDefault="00E954D9" w:rsidP="00391D49">
      <w:pPr>
        <w:rPr>
          <w:rFonts w:asciiTheme="minorHAnsi" w:hAnsiTheme="minorHAnsi"/>
          <w:sz w:val="16"/>
          <w:szCs w:val="16"/>
        </w:rPr>
      </w:pPr>
    </w:p>
    <w:tbl>
      <w:tblPr>
        <w:tblStyle w:val="TableGrid"/>
        <w:tblW w:w="0" w:type="auto"/>
        <w:tblLook w:val="04A0"/>
      </w:tblPr>
      <w:tblGrid>
        <w:gridCol w:w="10188"/>
      </w:tblGrid>
      <w:tr w:rsidR="00A35110" w:rsidTr="009F2BB8">
        <w:tc>
          <w:tcPr>
            <w:tcW w:w="10188" w:type="dxa"/>
          </w:tcPr>
          <w:p w:rsidR="00A35110" w:rsidRPr="005C7D46" w:rsidRDefault="00D6637E" w:rsidP="00391D49">
            <w:pPr>
              <w:rPr>
                <w:rFonts w:asciiTheme="minorHAnsi" w:hAnsiTheme="minorHAnsi"/>
                <w:b/>
              </w:rPr>
            </w:pPr>
            <w:r w:rsidRPr="005C7D46">
              <w:rPr>
                <w:rFonts w:asciiTheme="minorHAnsi" w:hAnsiTheme="minorHAnsi"/>
                <w:b/>
              </w:rPr>
              <w:t>Potential themes and examples of indicators</w:t>
            </w:r>
            <w:r w:rsidR="005C7D46">
              <w:rPr>
                <w:rFonts w:asciiTheme="minorHAnsi" w:hAnsiTheme="minorHAnsi"/>
                <w:b/>
              </w:rPr>
              <w:t xml:space="preserve"> – </w:t>
            </w:r>
            <w:r w:rsidR="00E954D9">
              <w:rPr>
                <w:rFonts w:asciiTheme="minorHAnsi" w:hAnsiTheme="minorHAnsi"/>
                <w:b/>
              </w:rPr>
              <w:t xml:space="preserve">as </w:t>
            </w:r>
            <w:r w:rsidR="005C7D46">
              <w:rPr>
                <w:rFonts w:asciiTheme="minorHAnsi" w:hAnsiTheme="minorHAnsi"/>
                <w:b/>
              </w:rPr>
              <w:t>a starting point</w:t>
            </w:r>
          </w:p>
          <w:p w:rsidR="009F2BB8" w:rsidRPr="009F2BB8" w:rsidRDefault="00D6637E" w:rsidP="009F2BB8">
            <w:pPr>
              <w:pStyle w:val="ListParagraph"/>
              <w:numPr>
                <w:ilvl w:val="0"/>
                <w:numId w:val="17"/>
              </w:numPr>
              <w:rPr>
                <w:rFonts w:asciiTheme="minorHAnsi" w:hAnsiTheme="minorHAnsi"/>
              </w:rPr>
            </w:pPr>
            <w:r w:rsidRPr="009F2BB8">
              <w:rPr>
                <w:rFonts w:asciiTheme="minorHAnsi" w:hAnsiTheme="minorHAnsi"/>
                <w:b/>
                <w:color w:val="0070C0"/>
              </w:rPr>
              <w:t>Food security</w:t>
            </w:r>
            <w:r w:rsidRPr="009F2BB8">
              <w:rPr>
                <w:rFonts w:asciiTheme="minorHAnsi" w:hAnsiTheme="minorHAnsi"/>
              </w:rPr>
              <w:t xml:space="preserve">:  % of households that are food insecure  </w:t>
            </w:r>
          </w:p>
          <w:p w:rsidR="009F2BB8" w:rsidRDefault="00D6637E" w:rsidP="009F2BB8">
            <w:pPr>
              <w:pStyle w:val="ListParagraph"/>
              <w:numPr>
                <w:ilvl w:val="0"/>
                <w:numId w:val="17"/>
              </w:numPr>
              <w:rPr>
                <w:rFonts w:asciiTheme="minorHAnsi" w:hAnsiTheme="minorHAnsi"/>
              </w:rPr>
            </w:pPr>
            <w:r w:rsidRPr="009F2BB8">
              <w:rPr>
                <w:rFonts w:asciiTheme="minorHAnsi" w:hAnsiTheme="minorHAnsi"/>
                <w:b/>
                <w:color w:val="0070C0"/>
              </w:rPr>
              <w:t>Coping with shock</w:t>
            </w:r>
            <w:r w:rsidRPr="009F2BB8">
              <w:rPr>
                <w:rFonts w:asciiTheme="minorHAnsi" w:hAnsiTheme="minorHAnsi"/>
              </w:rPr>
              <w:t xml:space="preserve">: % of households that had to [make a specific adjustment or level of change] to cope with the effects of [household or community shock]  </w:t>
            </w:r>
          </w:p>
          <w:p w:rsidR="009F2BB8" w:rsidRDefault="00D6637E" w:rsidP="009F2BB8">
            <w:pPr>
              <w:pStyle w:val="ListParagraph"/>
              <w:numPr>
                <w:ilvl w:val="0"/>
                <w:numId w:val="17"/>
              </w:numPr>
              <w:rPr>
                <w:rFonts w:asciiTheme="minorHAnsi" w:hAnsiTheme="minorHAnsi"/>
              </w:rPr>
            </w:pPr>
            <w:r w:rsidRPr="009F2BB8">
              <w:rPr>
                <w:rFonts w:asciiTheme="minorHAnsi" w:hAnsiTheme="minorHAnsi"/>
                <w:b/>
                <w:color w:val="0070C0"/>
              </w:rPr>
              <w:t>Economic poverty</w:t>
            </w:r>
            <w:r w:rsidRPr="009F2BB8">
              <w:rPr>
                <w:rFonts w:asciiTheme="minorHAnsi" w:hAnsiTheme="minorHAnsi"/>
              </w:rPr>
              <w:t xml:space="preserve">: % of households living above/below a given poverty line  </w:t>
            </w:r>
          </w:p>
          <w:p w:rsidR="009F2BB8" w:rsidRDefault="00D6637E" w:rsidP="009F2BB8">
            <w:pPr>
              <w:pStyle w:val="ListParagraph"/>
              <w:numPr>
                <w:ilvl w:val="0"/>
                <w:numId w:val="17"/>
              </w:numPr>
              <w:rPr>
                <w:rFonts w:asciiTheme="minorHAnsi" w:hAnsiTheme="minorHAnsi"/>
              </w:rPr>
            </w:pPr>
            <w:r w:rsidRPr="009F2BB8">
              <w:rPr>
                <w:rFonts w:asciiTheme="minorHAnsi" w:hAnsiTheme="minorHAnsi"/>
                <w:b/>
                <w:color w:val="0070C0"/>
              </w:rPr>
              <w:t>Health</w:t>
            </w:r>
            <w:r w:rsidRPr="009F2BB8">
              <w:rPr>
                <w:rFonts w:asciiTheme="minorHAnsi" w:hAnsiTheme="minorHAnsi"/>
              </w:rPr>
              <w:t xml:space="preserve">: % of households with [level of access] to health care [services/supplies]  </w:t>
            </w:r>
          </w:p>
          <w:p w:rsidR="009F2BB8" w:rsidRPr="009F2BB8" w:rsidRDefault="00D6637E" w:rsidP="00E954D9">
            <w:pPr>
              <w:pStyle w:val="ListParagraph"/>
              <w:numPr>
                <w:ilvl w:val="0"/>
                <w:numId w:val="17"/>
              </w:numPr>
              <w:rPr>
                <w:rFonts w:asciiTheme="minorHAnsi" w:hAnsiTheme="minorHAnsi"/>
              </w:rPr>
            </w:pPr>
            <w:r w:rsidRPr="009F2BB8">
              <w:rPr>
                <w:rFonts w:asciiTheme="minorHAnsi" w:hAnsiTheme="minorHAnsi"/>
                <w:b/>
                <w:color w:val="0070C0"/>
                <w:lang w:val="en-GB"/>
              </w:rPr>
              <w:t>Assets</w:t>
            </w:r>
            <w:r w:rsidRPr="009F2BB8">
              <w:rPr>
                <w:rFonts w:asciiTheme="minorHAnsi" w:hAnsiTheme="minorHAnsi"/>
                <w:lang w:val="en-GB"/>
              </w:rPr>
              <w:t xml:space="preserve">: </w:t>
            </w:r>
            <w:r w:rsidRPr="009F2BB8">
              <w:rPr>
                <w:rFonts w:asciiTheme="minorHAnsi" w:hAnsiTheme="minorHAnsi"/>
                <w:iCs/>
                <w:lang w:val="en-GB"/>
              </w:rPr>
              <w:t>% of households that purchased assets in the past year</w:t>
            </w:r>
          </w:p>
          <w:p w:rsidR="009F2BB8" w:rsidRPr="009F2BB8" w:rsidRDefault="005D7657" w:rsidP="00E954D9">
            <w:pPr>
              <w:pStyle w:val="ListParagraph"/>
              <w:numPr>
                <w:ilvl w:val="0"/>
                <w:numId w:val="17"/>
              </w:numPr>
              <w:rPr>
                <w:rFonts w:asciiTheme="minorHAnsi" w:hAnsiTheme="minorHAnsi"/>
              </w:rPr>
            </w:pPr>
            <w:r>
              <w:rPr>
                <w:rFonts w:asciiTheme="minorHAnsi" w:hAnsiTheme="minorHAnsi"/>
                <w:b/>
                <w:color w:val="0070C0"/>
                <w:lang w:val="en-GB"/>
              </w:rPr>
              <w:t xml:space="preserve">Social capital and </w:t>
            </w:r>
            <w:r w:rsidR="00D6637E" w:rsidRPr="009F2BB8">
              <w:rPr>
                <w:rFonts w:asciiTheme="minorHAnsi" w:hAnsiTheme="minorHAnsi"/>
                <w:b/>
                <w:color w:val="0070C0"/>
                <w:lang w:val="en-GB"/>
              </w:rPr>
              <w:t>empowerment</w:t>
            </w:r>
            <w:r w:rsidR="00D6637E" w:rsidRPr="009F2BB8">
              <w:rPr>
                <w:rFonts w:asciiTheme="minorHAnsi" w:hAnsiTheme="minorHAnsi"/>
              </w:rPr>
              <w:t xml:space="preserve">: a) </w:t>
            </w:r>
            <w:r w:rsidR="00D6637E" w:rsidRPr="009F2BB8">
              <w:rPr>
                <w:rFonts w:asciiTheme="minorHAnsi" w:hAnsiTheme="minorHAnsi"/>
                <w:iCs/>
                <w:lang w:val="en-GB"/>
              </w:rPr>
              <w:t xml:space="preserve">% of </w:t>
            </w:r>
            <w:r>
              <w:rPr>
                <w:rFonts w:asciiTheme="minorHAnsi" w:hAnsiTheme="minorHAnsi"/>
                <w:iCs/>
                <w:lang w:val="en-GB"/>
              </w:rPr>
              <w:t>women</w:t>
            </w:r>
            <w:r w:rsidR="00D6637E" w:rsidRPr="009F2BB8">
              <w:rPr>
                <w:rFonts w:asciiTheme="minorHAnsi" w:hAnsiTheme="minorHAnsi"/>
                <w:iCs/>
                <w:lang w:val="en-GB"/>
              </w:rPr>
              <w:t xml:space="preserve"> expressing confidence in making decisions regarding [spec</w:t>
            </w:r>
            <w:r>
              <w:rPr>
                <w:rFonts w:asciiTheme="minorHAnsi" w:hAnsiTheme="minorHAnsi"/>
                <w:iCs/>
                <w:lang w:val="en-GB"/>
              </w:rPr>
              <w:t xml:space="preserve">ific category]; b) % </w:t>
            </w:r>
            <w:r w:rsidR="00D6637E" w:rsidRPr="009F2BB8">
              <w:rPr>
                <w:rFonts w:asciiTheme="minorHAnsi" w:hAnsiTheme="minorHAnsi"/>
                <w:iCs/>
                <w:lang w:val="en-GB"/>
              </w:rPr>
              <w:t xml:space="preserve">who perceive [specify benefit or value] in group participation  </w:t>
            </w:r>
          </w:p>
          <w:p w:rsidR="00D6637E" w:rsidRPr="009F2BB8" w:rsidRDefault="00D6637E" w:rsidP="00E954D9">
            <w:pPr>
              <w:pStyle w:val="ListParagraph"/>
              <w:numPr>
                <w:ilvl w:val="0"/>
                <w:numId w:val="17"/>
              </w:numPr>
              <w:rPr>
                <w:rFonts w:asciiTheme="minorHAnsi" w:hAnsiTheme="minorHAnsi"/>
              </w:rPr>
            </w:pPr>
            <w:r w:rsidRPr="009F2BB8">
              <w:rPr>
                <w:rFonts w:asciiTheme="minorHAnsi" w:hAnsiTheme="minorHAnsi"/>
                <w:iCs/>
                <w:lang w:val="en-GB"/>
              </w:rPr>
              <w:t xml:space="preserve"> </w:t>
            </w:r>
            <w:r w:rsidRPr="009F2BB8">
              <w:rPr>
                <w:rFonts w:asciiTheme="minorHAnsi" w:hAnsiTheme="minorHAnsi"/>
                <w:b/>
                <w:iCs/>
                <w:color w:val="0070C0"/>
                <w:lang w:val="en-GB"/>
              </w:rPr>
              <w:t>Schooling</w:t>
            </w:r>
            <w:r w:rsidR="00E954D9" w:rsidRPr="009F2BB8">
              <w:rPr>
                <w:rFonts w:asciiTheme="minorHAnsi" w:hAnsiTheme="minorHAnsi"/>
                <w:lang w:val="en-GB"/>
              </w:rPr>
              <w:t xml:space="preserve">: </w:t>
            </w:r>
            <w:r w:rsidRPr="009F2BB8">
              <w:rPr>
                <w:rFonts w:asciiTheme="minorHAnsi" w:hAnsiTheme="minorHAnsi"/>
                <w:lang w:val="en-GB"/>
              </w:rPr>
              <w:t xml:space="preserve"> </w:t>
            </w:r>
            <w:r w:rsidRPr="009F2BB8">
              <w:rPr>
                <w:rFonts w:asciiTheme="minorHAnsi" w:hAnsiTheme="minorHAnsi"/>
                <w:iCs/>
                <w:lang w:val="en-GB"/>
              </w:rPr>
              <w:t xml:space="preserve">% of </w:t>
            </w:r>
            <w:r w:rsidR="00E954D9" w:rsidRPr="009F2BB8">
              <w:rPr>
                <w:rFonts w:asciiTheme="minorHAnsi" w:hAnsiTheme="minorHAnsi"/>
                <w:iCs/>
                <w:lang w:val="en-GB"/>
              </w:rPr>
              <w:t>[primary/secondary school age] c</w:t>
            </w:r>
            <w:r w:rsidRPr="009F2BB8">
              <w:rPr>
                <w:rFonts w:asciiTheme="minorHAnsi" w:hAnsiTheme="minorHAnsi"/>
                <w:iCs/>
                <w:lang w:val="en-GB"/>
              </w:rPr>
              <w:t>h</w:t>
            </w:r>
            <w:r w:rsidR="00267E4F">
              <w:rPr>
                <w:rFonts w:asciiTheme="minorHAnsi" w:hAnsiTheme="minorHAnsi"/>
                <w:iCs/>
                <w:lang w:val="en-GB"/>
              </w:rPr>
              <w:t>ildren in the household who regularly attend</w:t>
            </w:r>
            <w:r w:rsidRPr="009F2BB8">
              <w:rPr>
                <w:rFonts w:asciiTheme="minorHAnsi" w:hAnsiTheme="minorHAnsi"/>
                <w:iCs/>
                <w:lang w:val="en-GB"/>
              </w:rPr>
              <w:t xml:space="preserve"> schoo</w:t>
            </w:r>
            <w:r w:rsidR="00E954D9" w:rsidRPr="009F2BB8">
              <w:rPr>
                <w:rFonts w:asciiTheme="minorHAnsi" w:hAnsiTheme="minorHAnsi"/>
                <w:iCs/>
                <w:lang w:val="en-GB"/>
              </w:rPr>
              <w:t>l</w:t>
            </w:r>
          </w:p>
        </w:tc>
      </w:tr>
    </w:tbl>
    <w:p w:rsidR="005C7D46" w:rsidRPr="009F2BB8" w:rsidRDefault="005C7D46" w:rsidP="009520FB">
      <w:pPr>
        <w:rPr>
          <w:rFonts w:asciiTheme="minorHAnsi" w:hAnsiTheme="minorHAnsi"/>
          <w:sz w:val="12"/>
          <w:szCs w:val="12"/>
        </w:rPr>
      </w:pPr>
    </w:p>
    <w:p w:rsidR="005C7D46" w:rsidRDefault="005C7D46" w:rsidP="009520FB">
      <w:pPr>
        <w:rPr>
          <w:rFonts w:asciiTheme="minorHAnsi" w:hAnsiTheme="minorHAnsi"/>
        </w:rPr>
      </w:pPr>
      <w:r>
        <w:rPr>
          <w:rFonts w:asciiTheme="minorHAnsi" w:hAnsiTheme="minorHAnsi"/>
        </w:rPr>
        <w:t xml:space="preserve">This </w:t>
      </w:r>
      <w:r w:rsidR="005D7657">
        <w:rPr>
          <w:rFonts w:asciiTheme="minorHAnsi" w:hAnsiTheme="minorHAnsi"/>
        </w:rPr>
        <w:t xml:space="preserve">SPTF </w:t>
      </w:r>
      <w:r>
        <w:rPr>
          <w:rFonts w:asciiTheme="minorHAnsi" w:hAnsiTheme="minorHAnsi"/>
        </w:rPr>
        <w:t>working group is well placed to contribute to and test a ‘menu’ of outcomes indicators</w:t>
      </w:r>
      <w:r w:rsidR="00E954D9">
        <w:rPr>
          <w:rFonts w:asciiTheme="minorHAnsi" w:hAnsiTheme="minorHAnsi"/>
        </w:rPr>
        <w:t>.</w:t>
      </w:r>
    </w:p>
    <w:p w:rsidR="00614C66" w:rsidRDefault="00614C66" w:rsidP="00012683">
      <w:pPr>
        <w:jc w:val="center"/>
        <w:rPr>
          <w:rFonts w:asciiTheme="minorHAnsi" w:hAnsiTheme="minorHAnsi"/>
          <w:i/>
          <w:sz w:val="22"/>
          <w:szCs w:val="22"/>
        </w:rPr>
      </w:pPr>
    </w:p>
    <w:p w:rsidR="00012683" w:rsidRPr="00C41E59" w:rsidRDefault="00012683" w:rsidP="00012683">
      <w:pPr>
        <w:jc w:val="center"/>
        <w:rPr>
          <w:rFonts w:asciiTheme="minorHAnsi" w:hAnsiTheme="minorHAnsi"/>
          <w:i/>
          <w:sz w:val="22"/>
          <w:szCs w:val="22"/>
        </w:rPr>
      </w:pPr>
      <w:r w:rsidRPr="00C41E59">
        <w:rPr>
          <w:rFonts w:asciiTheme="minorHAnsi" w:hAnsiTheme="minorHAnsi"/>
          <w:i/>
          <w:sz w:val="22"/>
          <w:szCs w:val="22"/>
        </w:rPr>
        <w:t>The working group is open to all stakeholders:</w:t>
      </w:r>
    </w:p>
    <w:p w:rsidR="00012683" w:rsidRDefault="00012683" w:rsidP="00012683">
      <w:pPr>
        <w:jc w:val="center"/>
        <w:rPr>
          <w:rFonts w:asciiTheme="minorHAnsi" w:hAnsiTheme="minorHAnsi"/>
          <w:i/>
          <w:sz w:val="22"/>
          <w:szCs w:val="22"/>
        </w:rPr>
      </w:pPr>
      <w:r w:rsidRPr="00C41E59">
        <w:rPr>
          <w:rFonts w:asciiTheme="minorHAnsi" w:hAnsiTheme="minorHAnsi"/>
          <w:i/>
          <w:sz w:val="22"/>
          <w:szCs w:val="22"/>
        </w:rPr>
        <w:t xml:space="preserve">practitioners, networks, TA providers, investors, researchers, subject matter specialists </w:t>
      </w:r>
      <w:r>
        <w:rPr>
          <w:rFonts w:asciiTheme="minorHAnsi" w:hAnsiTheme="minorHAnsi"/>
          <w:i/>
          <w:sz w:val="22"/>
          <w:szCs w:val="22"/>
        </w:rPr>
        <w:t>–</w:t>
      </w:r>
      <w:r w:rsidRPr="00C41E59">
        <w:rPr>
          <w:rFonts w:asciiTheme="minorHAnsi" w:hAnsiTheme="minorHAnsi"/>
          <w:i/>
          <w:sz w:val="22"/>
          <w:szCs w:val="22"/>
        </w:rPr>
        <w:t xml:space="preserve"> academics</w:t>
      </w:r>
    </w:p>
    <w:p w:rsidR="00012683" w:rsidRPr="0058509E" w:rsidRDefault="00012683" w:rsidP="00012683">
      <w:pPr>
        <w:jc w:val="center"/>
        <w:rPr>
          <w:rFonts w:asciiTheme="minorHAnsi" w:hAnsiTheme="minorHAnsi"/>
        </w:rPr>
      </w:pPr>
      <w:r>
        <w:rPr>
          <w:rFonts w:asciiTheme="minorHAnsi" w:hAnsiTheme="minorHAnsi"/>
          <w:i/>
          <w:sz w:val="22"/>
          <w:szCs w:val="22"/>
        </w:rPr>
        <w:t>Contact us to share your experience</w:t>
      </w:r>
      <w:r w:rsidR="009F2BB8">
        <w:rPr>
          <w:rFonts w:asciiTheme="minorHAnsi" w:hAnsiTheme="minorHAnsi"/>
          <w:i/>
          <w:sz w:val="22"/>
          <w:szCs w:val="22"/>
        </w:rPr>
        <w:t xml:space="preserve"> and views</w:t>
      </w:r>
      <w:r>
        <w:rPr>
          <w:rFonts w:asciiTheme="minorHAnsi" w:hAnsiTheme="minorHAnsi"/>
          <w:i/>
          <w:sz w:val="22"/>
          <w:szCs w:val="22"/>
        </w:rPr>
        <w:t xml:space="preserve">:  </w:t>
      </w:r>
      <w:hyperlink r:id="rId12" w:history="1">
        <w:r w:rsidRPr="00D85EEA">
          <w:rPr>
            <w:rStyle w:val="Hyperlink"/>
            <w:rFonts w:asciiTheme="minorHAnsi" w:hAnsiTheme="minorHAnsi"/>
            <w:i/>
            <w:sz w:val="22"/>
            <w:szCs w:val="22"/>
          </w:rPr>
          <w:t>info@sptf.info</w:t>
        </w:r>
      </w:hyperlink>
    </w:p>
    <w:sectPr w:rsidR="00012683" w:rsidRPr="0058509E" w:rsidSect="00267E4F">
      <w:headerReference w:type="default" r:id="rId13"/>
      <w:pgSz w:w="12240" w:h="15840"/>
      <w:pgMar w:top="720" w:right="1008" w:bottom="576"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C44" w:rsidRDefault="00871C44" w:rsidP="00370AB1">
      <w:r>
        <w:separator/>
      </w:r>
    </w:p>
  </w:endnote>
  <w:endnote w:type="continuationSeparator" w:id="0">
    <w:p w:rsidR="00871C44" w:rsidRDefault="00871C44" w:rsidP="00370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C44" w:rsidRDefault="00871C44" w:rsidP="00370AB1">
      <w:r>
        <w:separator/>
      </w:r>
    </w:p>
  </w:footnote>
  <w:footnote w:type="continuationSeparator" w:id="0">
    <w:p w:rsidR="00871C44" w:rsidRDefault="00871C44" w:rsidP="00370A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C61" w:rsidRDefault="00346C61" w:rsidP="00370AB1">
    <w:pPr>
      <w:pStyle w:val="Header"/>
    </w:pPr>
    <w:r>
      <w:rPr>
        <w:noProof/>
      </w:rPr>
      <w:drawing>
        <wp:inline distT="0" distB="0" distL="0" distR="0">
          <wp:extent cx="1213209" cy="445047"/>
          <wp:effectExtent l="0" t="0" r="0" b="0"/>
          <wp:docPr id="1" name="Picture 0" descr="SPT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F.png"/>
                  <pic:cNvPicPr/>
                </pic:nvPicPr>
                <pic:blipFill>
                  <a:blip r:embed="rId1"/>
                  <a:stretch>
                    <a:fillRect/>
                  </a:stretch>
                </pic:blipFill>
                <pic:spPr>
                  <a:xfrm>
                    <a:off x="0" y="0"/>
                    <a:ext cx="1213209" cy="445047"/>
                  </a:xfrm>
                  <a:prstGeom prst="rect">
                    <a:avLst/>
                  </a:prstGeom>
                </pic:spPr>
              </pic:pic>
            </a:graphicData>
          </a:graphic>
        </wp:inline>
      </w:drawing>
    </w:r>
  </w:p>
  <w:p w:rsidR="00346C61" w:rsidRDefault="00346C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678D"/>
    <w:multiLevelType w:val="hybridMultilevel"/>
    <w:tmpl w:val="BE78BD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77E46"/>
    <w:multiLevelType w:val="hybridMultilevel"/>
    <w:tmpl w:val="6882A770"/>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31AEE"/>
    <w:multiLevelType w:val="hybridMultilevel"/>
    <w:tmpl w:val="9D8A4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B52F1"/>
    <w:multiLevelType w:val="hybridMultilevel"/>
    <w:tmpl w:val="E08CE3BC"/>
    <w:lvl w:ilvl="0" w:tplc="04090001">
      <w:start w:val="1"/>
      <w:numFmt w:val="bullet"/>
      <w:lvlText w:val=""/>
      <w:lvlJc w:val="left"/>
      <w:pPr>
        <w:ind w:left="180" w:hanging="360"/>
      </w:pPr>
      <w:rPr>
        <w:rFonts w:ascii="Symbol" w:hAnsi="Symbol" w:hint="default"/>
      </w:rPr>
    </w:lvl>
    <w:lvl w:ilvl="1" w:tplc="0409001B">
      <w:start w:val="1"/>
      <w:numFmt w:val="lowerRoman"/>
      <w:lvlText w:val="%2."/>
      <w:lvlJc w:val="right"/>
      <w:pPr>
        <w:ind w:left="900" w:hanging="360"/>
      </w:pPr>
      <w:rPr>
        <w:rFonts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nsid w:val="1D895A99"/>
    <w:multiLevelType w:val="hybridMultilevel"/>
    <w:tmpl w:val="06566C5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36F86"/>
    <w:multiLevelType w:val="hybridMultilevel"/>
    <w:tmpl w:val="487C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256BB9"/>
    <w:multiLevelType w:val="hybridMultilevel"/>
    <w:tmpl w:val="CDE693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9F611E"/>
    <w:multiLevelType w:val="hybridMultilevel"/>
    <w:tmpl w:val="9FD2D1F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BB0493"/>
    <w:multiLevelType w:val="hybridMultilevel"/>
    <w:tmpl w:val="7304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D11D7A"/>
    <w:multiLevelType w:val="hybridMultilevel"/>
    <w:tmpl w:val="1CBA6B78"/>
    <w:lvl w:ilvl="0" w:tplc="0809000B">
      <w:start w:val="1"/>
      <w:numFmt w:val="bullet"/>
      <w:lvlText w:val=""/>
      <w:lvlJc w:val="left"/>
      <w:pPr>
        <w:tabs>
          <w:tab w:val="num" w:pos="720"/>
        </w:tabs>
        <w:ind w:left="720" w:hanging="360"/>
      </w:pPr>
      <w:rPr>
        <w:rFonts w:ascii="Wingdings" w:hAnsi="Wingdings" w:hint="default"/>
      </w:rPr>
    </w:lvl>
    <w:lvl w:ilvl="1" w:tplc="46A47BD0">
      <w:start w:val="1"/>
      <w:numFmt w:val="bullet"/>
      <w:lvlText w:val=""/>
      <w:lvlJc w:val="left"/>
      <w:pPr>
        <w:tabs>
          <w:tab w:val="num" w:pos="1440"/>
        </w:tabs>
        <w:ind w:left="1440" w:hanging="360"/>
      </w:pPr>
      <w:rPr>
        <w:rFonts w:ascii="Wingdings" w:hAnsi="Wingdings" w:hint="default"/>
      </w:rPr>
    </w:lvl>
    <w:lvl w:ilvl="2" w:tplc="3BBCED4C" w:tentative="1">
      <w:start w:val="1"/>
      <w:numFmt w:val="bullet"/>
      <w:lvlText w:val=""/>
      <w:lvlJc w:val="left"/>
      <w:pPr>
        <w:tabs>
          <w:tab w:val="num" w:pos="2160"/>
        </w:tabs>
        <w:ind w:left="2160" w:hanging="360"/>
      </w:pPr>
      <w:rPr>
        <w:rFonts w:ascii="Wingdings" w:hAnsi="Wingdings" w:hint="default"/>
      </w:rPr>
    </w:lvl>
    <w:lvl w:ilvl="3" w:tplc="3E908EBE" w:tentative="1">
      <w:start w:val="1"/>
      <w:numFmt w:val="bullet"/>
      <w:lvlText w:val=""/>
      <w:lvlJc w:val="left"/>
      <w:pPr>
        <w:tabs>
          <w:tab w:val="num" w:pos="2880"/>
        </w:tabs>
        <w:ind w:left="2880" w:hanging="360"/>
      </w:pPr>
      <w:rPr>
        <w:rFonts w:ascii="Wingdings" w:hAnsi="Wingdings" w:hint="default"/>
      </w:rPr>
    </w:lvl>
    <w:lvl w:ilvl="4" w:tplc="9ECA3644" w:tentative="1">
      <w:start w:val="1"/>
      <w:numFmt w:val="bullet"/>
      <w:lvlText w:val=""/>
      <w:lvlJc w:val="left"/>
      <w:pPr>
        <w:tabs>
          <w:tab w:val="num" w:pos="3600"/>
        </w:tabs>
        <w:ind w:left="3600" w:hanging="360"/>
      </w:pPr>
      <w:rPr>
        <w:rFonts w:ascii="Wingdings" w:hAnsi="Wingdings" w:hint="default"/>
      </w:rPr>
    </w:lvl>
    <w:lvl w:ilvl="5" w:tplc="317CB380" w:tentative="1">
      <w:start w:val="1"/>
      <w:numFmt w:val="bullet"/>
      <w:lvlText w:val=""/>
      <w:lvlJc w:val="left"/>
      <w:pPr>
        <w:tabs>
          <w:tab w:val="num" w:pos="4320"/>
        </w:tabs>
        <w:ind w:left="4320" w:hanging="360"/>
      </w:pPr>
      <w:rPr>
        <w:rFonts w:ascii="Wingdings" w:hAnsi="Wingdings" w:hint="default"/>
      </w:rPr>
    </w:lvl>
    <w:lvl w:ilvl="6" w:tplc="B10CB654" w:tentative="1">
      <w:start w:val="1"/>
      <w:numFmt w:val="bullet"/>
      <w:lvlText w:val=""/>
      <w:lvlJc w:val="left"/>
      <w:pPr>
        <w:tabs>
          <w:tab w:val="num" w:pos="5040"/>
        </w:tabs>
        <w:ind w:left="5040" w:hanging="360"/>
      </w:pPr>
      <w:rPr>
        <w:rFonts w:ascii="Wingdings" w:hAnsi="Wingdings" w:hint="default"/>
      </w:rPr>
    </w:lvl>
    <w:lvl w:ilvl="7" w:tplc="61A2E0B4" w:tentative="1">
      <w:start w:val="1"/>
      <w:numFmt w:val="bullet"/>
      <w:lvlText w:val=""/>
      <w:lvlJc w:val="left"/>
      <w:pPr>
        <w:tabs>
          <w:tab w:val="num" w:pos="5760"/>
        </w:tabs>
        <w:ind w:left="5760" w:hanging="360"/>
      </w:pPr>
      <w:rPr>
        <w:rFonts w:ascii="Wingdings" w:hAnsi="Wingdings" w:hint="default"/>
      </w:rPr>
    </w:lvl>
    <w:lvl w:ilvl="8" w:tplc="F37A593C" w:tentative="1">
      <w:start w:val="1"/>
      <w:numFmt w:val="bullet"/>
      <w:lvlText w:val=""/>
      <w:lvlJc w:val="left"/>
      <w:pPr>
        <w:tabs>
          <w:tab w:val="num" w:pos="6480"/>
        </w:tabs>
        <w:ind w:left="6480" w:hanging="360"/>
      </w:pPr>
      <w:rPr>
        <w:rFonts w:ascii="Wingdings" w:hAnsi="Wingdings" w:hint="default"/>
      </w:rPr>
    </w:lvl>
  </w:abstractNum>
  <w:abstractNum w:abstractNumId="10">
    <w:nsid w:val="555B581D"/>
    <w:multiLevelType w:val="hybridMultilevel"/>
    <w:tmpl w:val="56CEA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AF5DF8"/>
    <w:multiLevelType w:val="hybridMultilevel"/>
    <w:tmpl w:val="60949E40"/>
    <w:lvl w:ilvl="0" w:tplc="78BE8B2C">
      <w:start w:val="1"/>
      <w:numFmt w:val="bullet"/>
      <w:lvlText w:val="•"/>
      <w:lvlJc w:val="left"/>
      <w:pPr>
        <w:tabs>
          <w:tab w:val="num" w:pos="720"/>
        </w:tabs>
        <w:ind w:left="720" w:hanging="360"/>
      </w:pPr>
      <w:rPr>
        <w:rFonts w:ascii="Georgia" w:hAnsi="Georgia" w:hint="default"/>
      </w:rPr>
    </w:lvl>
    <w:lvl w:ilvl="1" w:tplc="89D09618" w:tentative="1">
      <w:start w:val="1"/>
      <w:numFmt w:val="bullet"/>
      <w:lvlText w:val="•"/>
      <w:lvlJc w:val="left"/>
      <w:pPr>
        <w:tabs>
          <w:tab w:val="num" w:pos="1440"/>
        </w:tabs>
        <w:ind w:left="1440" w:hanging="360"/>
      </w:pPr>
      <w:rPr>
        <w:rFonts w:ascii="Georgia" w:hAnsi="Georgia" w:hint="default"/>
      </w:rPr>
    </w:lvl>
    <w:lvl w:ilvl="2" w:tplc="821A9BF8" w:tentative="1">
      <w:start w:val="1"/>
      <w:numFmt w:val="bullet"/>
      <w:lvlText w:val="•"/>
      <w:lvlJc w:val="left"/>
      <w:pPr>
        <w:tabs>
          <w:tab w:val="num" w:pos="2160"/>
        </w:tabs>
        <w:ind w:left="2160" w:hanging="360"/>
      </w:pPr>
      <w:rPr>
        <w:rFonts w:ascii="Georgia" w:hAnsi="Georgia" w:hint="default"/>
      </w:rPr>
    </w:lvl>
    <w:lvl w:ilvl="3" w:tplc="0E5E86B2" w:tentative="1">
      <w:start w:val="1"/>
      <w:numFmt w:val="bullet"/>
      <w:lvlText w:val="•"/>
      <w:lvlJc w:val="left"/>
      <w:pPr>
        <w:tabs>
          <w:tab w:val="num" w:pos="2880"/>
        </w:tabs>
        <w:ind w:left="2880" w:hanging="360"/>
      </w:pPr>
      <w:rPr>
        <w:rFonts w:ascii="Georgia" w:hAnsi="Georgia" w:hint="default"/>
      </w:rPr>
    </w:lvl>
    <w:lvl w:ilvl="4" w:tplc="DB06FBC4" w:tentative="1">
      <w:start w:val="1"/>
      <w:numFmt w:val="bullet"/>
      <w:lvlText w:val="•"/>
      <w:lvlJc w:val="left"/>
      <w:pPr>
        <w:tabs>
          <w:tab w:val="num" w:pos="3600"/>
        </w:tabs>
        <w:ind w:left="3600" w:hanging="360"/>
      </w:pPr>
      <w:rPr>
        <w:rFonts w:ascii="Georgia" w:hAnsi="Georgia" w:hint="default"/>
      </w:rPr>
    </w:lvl>
    <w:lvl w:ilvl="5" w:tplc="21A65B1E" w:tentative="1">
      <w:start w:val="1"/>
      <w:numFmt w:val="bullet"/>
      <w:lvlText w:val="•"/>
      <w:lvlJc w:val="left"/>
      <w:pPr>
        <w:tabs>
          <w:tab w:val="num" w:pos="4320"/>
        </w:tabs>
        <w:ind w:left="4320" w:hanging="360"/>
      </w:pPr>
      <w:rPr>
        <w:rFonts w:ascii="Georgia" w:hAnsi="Georgia" w:hint="default"/>
      </w:rPr>
    </w:lvl>
    <w:lvl w:ilvl="6" w:tplc="2856C374" w:tentative="1">
      <w:start w:val="1"/>
      <w:numFmt w:val="bullet"/>
      <w:lvlText w:val="•"/>
      <w:lvlJc w:val="left"/>
      <w:pPr>
        <w:tabs>
          <w:tab w:val="num" w:pos="5040"/>
        </w:tabs>
        <w:ind w:left="5040" w:hanging="360"/>
      </w:pPr>
      <w:rPr>
        <w:rFonts w:ascii="Georgia" w:hAnsi="Georgia" w:hint="default"/>
      </w:rPr>
    </w:lvl>
    <w:lvl w:ilvl="7" w:tplc="E348C856" w:tentative="1">
      <w:start w:val="1"/>
      <w:numFmt w:val="bullet"/>
      <w:lvlText w:val="•"/>
      <w:lvlJc w:val="left"/>
      <w:pPr>
        <w:tabs>
          <w:tab w:val="num" w:pos="5760"/>
        </w:tabs>
        <w:ind w:left="5760" w:hanging="360"/>
      </w:pPr>
      <w:rPr>
        <w:rFonts w:ascii="Georgia" w:hAnsi="Georgia" w:hint="default"/>
      </w:rPr>
    </w:lvl>
    <w:lvl w:ilvl="8" w:tplc="0AA6BEE6" w:tentative="1">
      <w:start w:val="1"/>
      <w:numFmt w:val="bullet"/>
      <w:lvlText w:val="•"/>
      <w:lvlJc w:val="left"/>
      <w:pPr>
        <w:tabs>
          <w:tab w:val="num" w:pos="6480"/>
        </w:tabs>
        <w:ind w:left="6480" w:hanging="360"/>
      </w:pPr>
      <w:rPr>
        <w:rFonts w:ascii="Georgia" w:hAnsi="Georgia" w:hint="default"/>
      </w:rPr>
    </w:lvl>
  </w:abstractNum>
  <w:abstractNum w:abstractNumId="12">
    <w:nsid w:val="56DD1571"/>
    <w:multiLevelType w:val="hybridMultilevel"/>
    <w:tmpl w:val="6DAAA426"/>
    <w:lvl w:ilvl="0" w:tplc="C48CBA22">
      <w:start w:val="1"/>
      <w:numFmt w:val="bullet"/>
      <w:lvlText w:val=""/>
      <w:lvlJc w:val="left"/>
      <w:pPr>
        <w:tabs>
          <w:tab w:val="num" w:pos="720"/>
        </w:tabs>
        <w:ind w:left="720" w:hanging="360"/>
      </w:pPr>
      <w:rPr>
        <w:rFonts w:ascii="Wingdings" w:hAnsi="Wingdings" w:hint="default"/>
      </w:rPr>
    </w:lvl>
    <w:lvl w:ilvl="1" w:tplc="46A47BD0">
      <w:start w:val="1"/>
      <w:numFmt w:val="bullet"/>
      <w:lvlText w:val=""/>
      <w:lvlJc w:val="left"/>
      <w:pPr>
        <w:tabs>
          <w:tab w:val="num" w:pos="1440"/>
        </w:tabs>
        <w:ind w:left="1440" w:hanging="360"/>
      </w:pPr>
      <w:rPr>
        <w:rFonts w:ascii="Wingdings" w:hAnsi="Wingdings" w:hint="default"/>
      </w:rPr>
    </w:lvl>
    <w:lvl w:ilvl="2" w:tplc="3BBCED4C" w:tentative="1">
      <w:start w:val="1"/>
      <w:numFmt w:val="bullet"/>
      <w:lvlText w:val=""/>
      <w:lvlJc w:val="left"/>
      <w:pPr>
        <w:tabs>
          <w:tab w:val="num" w:pos="2160"/>
        </w:tabs>
        <w:ind w:left="2160" w:hanging="360"/>
      </w:pPr>
      <w:rPr>
        <w:rFonts w:ascii="Wingdings" w:hAnsi="Wingdings" w:hint="default"/>
      </w:rPr>
    </w:lvl>
    <w:lvl w:ilvl="3" w:tplc="3E908EBE" w:tentative="1">
      <w:start w:val="1"/>
      <w:numFmt w:val="bullet"/>
      <w:lvlText w:val=""/>
      <w:lvlJc w:val="left"/>
      <w:pPr>
        <w:tabs>
          <w:tab w:val="num" w:pos="2880"/>
        </w:tabs>
        <w:ind w:left="2880" w:hanging="360"/>
      </w:pPr>
      <w:rPr>
        <w:rFonts w:ascii="Wingdings" w:hAnsi="Wingdings" w:hint="default"/>
      </w:rPr>
    </w:lvl>
    <w:lvl w:ilvl="4" w:tplc="9ECA3644" w:tentative="1">
      <w:start w:val="1"/>
      <w:numFmt w:val="bullet"/>
      <w:lvlText w:val=""/>
      <w:lvlJc w:val="left"/>
      <w:pPr>
        <w:tabs>
          <w:tab w:val="num" w:pos="3600"/>
        </w:tabs>
        <w:ind w:left="3600" w:hanging="360"/>
      </w:pPr>
      <w:rPr>
        <w:rFonts w:ascii="Wingdings" w:hAnsi="Wingdings" w:hint="default"/>
      </w:rPr>
    </w:lvl>
    <w:lvl w:ilvl="5" w:tplc="317CB380" w:tentative="1">
      <w:start w:val="1"/>
      <w:numFmt w:val="bullet"/>
      <w:lvlText w:val=""/>
      <w:lvlJc w:val="left"/>
      <w:pPr>
        <w:tabs>
          <w:tab w:val="num" w:pos="4320"/>
        </w:tabs>
        <w:ind w:left="4320" w:hanging="360"/>
      </w:pPr>
      <w:rPr>
        <w:rFonts w:ascii="Wingdings" w:hAnsi="Wingdings" w:hint="default"/>
      </w:rPr>
    </w:lvl>
    <w:lvl w:ilvl="6" w:tplc="B10CB654" w:tentative="1">
      <w:start w:val="1"/>
      <w:numFmt w:val="bullet"/>
      <w:lvlText w:val=""/>
      <w:lvlJc w:val="left"/>
      <w:pPr>
        <w:tabs>
          <w:tab w:val="num" w:pos="5040"/>
        </w:tabs>
        <w:ind w:left="5040" w:hanging="360"/>
      </w:pPr>
      <w:rPr>
        <w:rFonts w:ascii="Wingdings" w:hAnsi="Wingdings" w:hint="default"/>
      </w:rPr>
    </w:lvl>
    <w:lvl w:ilvl="7" w:tplc="61A2E0B4" w:tentative="1">
      <w:start w:val="1"/>
      <w:numFmt w:val="bullet"/>
      <w:lvlText w:val=""/>
      <w:lvlJc w:val="left"/>
      <w:pPr>
        <w:tabs>
          <w:tab w:val="num" w:pos="5760"/>
        </w:tabs>
        <w:ind w:left="5760" w:hanging="360"/>
      </w:pPr>
      <w:rPr>
        <w:rFonts w:ascii="Wingdings" w:hAnsi="Wingdings" w:hint="default"/>
      </w:rPr>
    </w:lvl>
    <w:lvl w:ilvl="8" w:tplc="F37A593C" w:tentative="1">
      <w:start w:val="1"/>
      <w:numFmt w:val="bullet"/>
      <w:lvlText w:val=""/>
      <w:lvlJc w:val="left"/>
      <w:pPr>
        <w:tabs>
          <w:tab w:val="num" w:pos="6480"/>
        </w:tabs>
        <w:ind w:left="6480" w:hanging="360"/>
      </w:pPr>
      <w:rPr>
        <w:rFonts w:ascii="Wingdings" w:hAnsi="Wingdings" w:hint="default"/>
      </w:rPr>
    </w:lvl>
  </w:abstractNum>
  <w:abstractNum w:abstractNumId="13">
    <w:nsid w:val="5BEF19B7"/>
    <w:multiLevelType w:val="hybridMultilevel"/>
    <w:tmpl w:val="59EE8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563B16"/>
    <w:multiLevelType w:val="hybridMultilevel"/>
    <w:tmpl w:val="4D36646A"/>
    <w:lvl w:ilvl="0" w:tplc="85B61E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3C07A8D"/>
    <w:multiLevelType w:val="hybridMultilevel"/>
    <w:tmpl w:val="96FA5D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B8D26C5"/>
    <w:multiLevelType w:val="hybridMultilevel"/>
    <w:tmpl w:val="1C8E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3"/>
  </w:num>
  <w:num w:numId="4">
    <w:abstractNumId w:val="11"/>
  </w:num>
  <w:num w:numId="5">
    <w:abstractNumId w:val="10"/>
  </w:num>
  <w:num w:numId="6">
    <w:abstractNumId w:val="16"/>
  </w:num>
  <w:num w:numId="7">
    <w:abstractNumId w:val="5"/>
  </w:num>
  <w:num w:numId="8">
    <w:abstractNumId w:val="6"/>
  </w:num>
  <w:num w:numId="9">
    <w:abstractNumId w:val="7"/>
  </w:num>
  <w:num w:numId="10">
    <w:abstractNumId w:val="15"/>
  </w:num>
  <w:num w:numId="11">
    <w:abstractNumId w:val="3"/>
  </w:num>
  <w:num w:numId="12">
    <w:abstractNumId w:val="1"/>
  </w:num>
  <w:num w:numId="13">
    <w:abstractNumId w:val="8"/>
  </w:num>
  <w:num w:numId="14">
    <w:abstractNumId w:val="0"/>
  </w:num>
  <w:num w:numId="15">
    <w:abstractNumId w:val="12"/>
  </w:num>
  <w:num w:numId="16">
    <w:abstractNumId w:val="9"/>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4578">
      <o:colormenu v:ext="edit" strokecolor="none"/>
    </o:shapedefaults>
  </w:hdrShapeDefaults>
  <w:footnotePr>
    <w:footnote w:id="-1"/>
    <w:footnote w:id="0"/>
  </w:footnotePr>
  <w:endnotePr>
    <w:endnote w:id="-1"/>
    <w:endnote w:id="0"/>
  </w:endnotePr>
  <w:compat/>
  <w:rsids>
    <w:rsidRoot w:val="00CF59C6"/>
    <w:rsid w:val="00005A1E"/>
    <w:rsid w:val="00012683"/>
    <w:rsid w:val="00014886"/>
    <w:rsid w:val="00042E78"/>
    <w:rsid w:val="000730AA"/>
    <w:rsid w:val="000A3233"/>
    <w:rsid w:val="000A7CB8"/>
    <w:rsid w:val="001D18C5"/>
    <w:rsid w:val="001D2E3D"/>
    <w:rsid w:val="001E4E27"/>
    <w:rsid w:val="00210E38"/>
    <w:rsid w:val="00253AD5"/>
    <w:rsid w:val="00267E4F"/>
    <w:rsid w:val="00291BC6"/>
    <w:rsid w:val="002F390C"/>
    <w:rsid w:val="003013BA"/>
    <w:rsid w:val="00311682"/>
    <w:rsid w:val="003373F8"/>
    <w:rsid w:val="00340FEB"/>
    <w:rsid w:val="00345F4E"/>
    <w:rsid w:val="00346C61"/>
    <w:rsid w:val="00365F6C"/>
    <w:rsid w:val="00370AB1"/>
    <w:rsid w:val="003726CB"/>
    <w:rsid w:val="00377FCF"/>
    <w:rsid w:val="00380302"/>
    <w:rsid w:val="00391D49"/>
    <w:rsid w:val="003A7512"/>
    <w:rsid w:val="003F762E"/>
    <w:rsid w:val="00402CAC"/>
    <w:rsid w:val="004623A1"/>
    <w:rsid w:val="004E1634"/>
    <w:rsid w:val="004F3545"/>
    <w:rsid w:val="0053751D"/>
    <w:rsid w:val="005548B5"/>
    <w:rsid w:val="0058509E"/>
    <w:rsid w:val="00590DBF"/>
    <w:rsid w:val="005B3606"/>
    <w:rsid w:val="005C7D46"/>
    <w:rsid w:val="005D7657"/>
    <w:rsid w:val="00604DCA"/>
    <w:rsid w:val="00614C66"/>
    <w:rsid w:val="00651A88"/>
    <w:rsid w:val="0067732B"/>
    <w:rsid w:val="006A6B09"/>
    <w:rsid w:val="006D257F"/>
    <w:rsid w:val="006D5AC2"/>
    <w:rsid w:val="00730247"/>
    <w:rsid w:val="00754109"/>
    <w:rsid w:val="007A0218"/>
    <w:rsid w:val="007D7591"/>
    <w:rsid w:val="008438EA"/>
    <w:rsid w:val="00871C44"/>
    <w:rsid w:val="00876317"/>
    <w:rsid w:val="008B7FA6"/>
    <w:rsid w:val="008E15CB"/>
    <w:rsid w:val="009374AC"/>
    <w:rsid w:val="00951CF8"/>
    <w:rsid w:val="009520FB"/>
    <w:rsid w:val="009D1670"/>
    <w:rsid w:val="009D526E"/>
    <w:rsid w:val="009F2BB8"/>
    <w:rsid w:val="009F7FE0"/>
    <w:rsid w:val="00A0556D"/>
    <w:rsid w:val="00A35110"/>
    <w:rsid w:val="00A519FE"/>
    <w:rsid w:val="00A61B4C"/>
    <w:rsid w:val="00AB34A6"/>
    <w:rsid w:val="00AC05FD"/>
    <w:rsid w:val="00AC6678"/>
    <w:rsid w:val="00AC6E9B"/>
    <w:rsid w:val="00AD1DAD"/>
    <w:rsid w:val="00AD5DED"/>
    <w:rsid w:val="00B22DB2"/>
    <w:rsid w:val="00B70EBA"/>
    <w:rsid w:val="00C0413E"/>
    <w:rsid w:val="00C41D55"/>
    <w:rsid w:val="00C7210C"/>
    <w:rsid w:val="00C9674C"/>
    <w:rsid w:val="00CA5FA2"/>
    <w:rsid w:val="00CA7DA5"/>
    <w:rsid w:val="00CF59C6"/>
    <w:rsid w:val="00D61CAF"/>
    <w:rsid w:val="00D6637E"/>
    <w:rsid w:val="00DB6B62"/>
    <w:rsid w:val="00DB7306"/>
    <w:rsid w:val="00DD1E49"/>
    <w:rsid w:val="00DE6A77"/>
    <w:rsid w:val="00E522BF"/>
    <w:rsid w:val="00E65966"/>
    <w:rsid w:val="00E74946"/>
    <w:rsid w:val="00E807CF"/>
    <w:rsid w:val="00E954D9"/>
    <w:rsid w:val="00EA4079"/>
    <w:rsid w:val="00EB7DE5"/>
    <w:rsid w:val="00F17197"/>
    <w:rsid w:val="00F56286"/>
    <w:rsid w:val="00FA4B86"/>
    <w:rsid w:val="00FF1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C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3BA"/>
    <w:pPr>
      <w:ind w:left="720"/>
      <w:contextualSpacing/>
    </w:pPr>
  </w:style>
  <w:style w:type="character" w:styleId="CommentReference">
    <w:name w:val="annotation reference"/>
    <w:basedOn w:val="DefaultParagraphFont"/>
    <w:uiPriority w:val="99"/>
    <w:semiHidden/>
    <w:unhideWhenUsed/>
    <w:rsid w:val="00370AB1"/>
    <w:rPr>
      <w:sz w:val="16"/>
      <w:szCs w:val="16"/>
    </w:rPr>
  </w:style>
  <w:style w:type="paragraph" w:styleId="CommentText">
    <w:name w:val="annotation text"/>
    <w:basedOn w:val="Normal"/>
    <w:link w:val="CommentTextChar"/>
    <w:uiPriority w:val="99"/>
    <w:semiHidden/>
    <w:unhideWhenUsed/>
    <w:rsid w:val="00370AB1"/>
    <w:rPr>
      <w:sz w:val="20"/>
      <w:szCs w:val="20"/>
    </w:rPr>
  </w:style>
  <w:style w:type="character" w:customStyle="1" w:styleId="CommentTextChar">
    <w:name w:val="Comment Text Char"/>
    <w:basedOn w:val="DefaultParagraphFont"/>
    <w:link w:val="CommentText"/>
    <w:uiPriority w:val="99"/>
    <w:semiHidden/>
    <w:rsid w:val="00370AB1"/>
    <w:rPr>
      <w:sz w:val="20"/>
      <w:szCs w:val="20"/>
    </w:rPr>
  </w:style>
  <w:style w:type="paragraph" w:styleId="CommentSubject">
    <w:name w:val="annotation subject"/>
    <w:basedOn w:val="CommentText"/>
    <w:next w:val="CommentText"/>
    <w:link w:val="CommentSubjectChar"/>
    <w:uiPriority w:val="99"/>
    <w:semiHidden/>
    <w:unhideWhenUsed/>
    <w:rsid w:val="00370AB1"/>
    <w:rPr>
      <w:b/>
      <w:bCs/>
    </w:rPr>
  </w:style>
  <w:style w:type="character" w:customStyle="1" w:styleId="CommentSubjectChar">
    <w:name w:val="Comment Subject Char"/>
    <w:basedOn w:val="CommentTextChar"/>
    <w:link w:val="CommentSubject"/>
    <w:uiPriority w:val="99"/>
    <w:semiHidden/>
    <w:rsid w:val="00370AB1"/>
    <w:rPr>
      <w:b/>
      <w:bCs/>
    </w:rPr>
  </w:style>
  <w:style w:type="paragraph" w:styleId="BalloonText">
    <w:name w:val="Balloon Text"/>
    <w:basedOn w:val="Normal"/>
    <w:link w:val="BalloonTextChar"/>
    <w:uiPriority w:val="99"/>
    <w:semiHidden/>
    <w:unhideWhenUsed/>
    <w:rsid w:val="00370AB1"/>
    <w:rPr>
      <w:rFonts w:ascii="Tahoma" w:hAnsi="Tahoma" w:cs="Tahoma"/>
      <w:sz w:val="16"/>
      <w:szCs w:val="16"/>
    </w:rPr>
  </w:style>
  <w:style w:type="character" w:customStyle="1" w:styleId="BalloonTextChar">
    <w:name w:val="Balloon Text Char"/>
    <w:basedOn w:val="DefaultParagraphFont"/>
    <w:link w:val="BalloonText"/>
    <w:uiPriority w:val="99"/>
    <w:semiHidden/>
    <w:rsid w:val="00370AB1"/>
    <w:rPr>
      <w:rFonts w:ascii="Tahoma" w:hAnsi="Tahoma" w:cs="Tahoma"/>
      <w:sz w:val="16"/>
      <w:szCs w:val="16"/>
    </w:rPr>
  </w:style>
  <w:style w:type="character" w:styleId="Hyperlink">
    <w:name w:val="Hyperlink"/>
    <w:basedOn w:val="DefaultParagraphFont"/>
    <w:uiPriority w:val="99"/>
    <w:unhideWhenUsed/>
    <w:rsid w:val="00370AB1"/>
    <w:rPr>
      <w:color w:val="0000FF" w:themeColor="hyperlink"/>
      <w:u w:val="single"/>
    </w:rPr>
  </w:style>
  <w:style w:type="paragraph" w:styleId="Header">
    <w:name w:val="header"/>
    <w:basedOn w:val="Normal"/>
    <w:link w:val="HeaderChar"/>
    <w:uiPriority w:val="99"/>
    <w:unhideWhenUsed/>
    <w:rsid w:val="00370AB1"/>
    <w:pPr>
      <w:tabs>
        <w:tab w:val="center" w:pos="4680"/>
        <w:tab w:val="right" w:pos="9360"/>
      </w:tabs>
    </w:pPr>
  </w:style>
  <w:style w:type="character" w:customStyle="1" w:styleId="HeaderChar">
    <w:name w:val="Header Char"/>
    <w:basedOn w:val="DefaultParagraphFont"/>
    <w:link w:val="Header"/>
    <w:uiPriority w:val="99"/>
    <w:rsid w:val="00370AB1"/>
  </w:style>
  <w:style w:type="paragraph" w:styleId="Footer">
    <w:name w:val="footer"/>
    <w:basedOn w:val="Normal"/>
    <w:link w:val="FooterChar"/>
    <w:uiPriority w:val="99"/>
    <w:unhideWhenUsed/>
    <w:rsid w:val="00370AB1"/>
    <w:pPr>
      <w:tabs>
        <w:tab w:val="center" w:pos="4680"/>
        <w:tab w:val="right" w:pos="9360"/>
      </w:tabs>
    </w:pPr>
  </w:style>
  <w:style w:type="character" w:customStyle="1" w:styleId="FooterChar">
    <w:name w:val="Footer Char"/>
    <w:basedOn w:val="DefaultParagraphFont"/>
    <w:link w:val="Footer"/>
    <w:uiPriority w:val="99"/>
    <w:rsid w:val="00370AB1"/>
  </w:style>
  <w:style w:type="paragraph" w:styleId="NormalWeb">
    <w:name w:val="Normal (Web)"/>
    <w:basedOn w:val="Normal"/>
    <w:uiPriority w:val="99"/>
    <w:semiHidden/>
    <w:unhideWhenUsed/>
    <w:rsid w:val="009374AC"/>
    <w:pPr>
      <w:spacing w:before="100" w:beforeAutospacing="1" w:after="100" w:afterAutospacing="1"/>
    </w:pPr>
    <w:rPr>
      <w:rFonts w:eastAsia="Times New Roman"/>
    </w:rPr>
  </w:style>
  <w:style w:type="table" w:styleId="TableGrid">
    <w:name w:val="Table Grid"/>
    <w:basedOn w:val="TableNormal"/>
    <w:uiPriority w:val="59"/>
    <w:rsid w:val="0031168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505648">
      <w:bodyDiv w:val="1"/>
      <w:marLeft w:val="0"/>
      <w:marRight w:val="0"/>
      <w:marTop w:val="0"/>
      <w:marBottom w:val="0"/>
      <w:divBdr>
        <w:top w:val="none" w:sz="0" w:space="0" w:color="auto"/>
        <w:left w:val="none" w:sz="0" w:space="0" w:color="auto"/>
        <w:bottom w:val="none" w:sz="0" w:space="0" w:color="auto"/>
        <w:right w:val="none" w:sz="0" w:space="0" w:color="auto"/>
      </w:divBdr>
      <w:divsChild>
        <w:div w:id="1872457457">
          <w:marLeft w:val="1440"/>
          <w:marRight w:val="0"/>
          <w:marTop w:val="60"/>
          <w:marBottom w:val="0"/>
          <w:divBdr>
            <w:top w:val="none" w:sz="0" w:space="0" w:color="auto"/>
            <w:left w:val="none" w:sz="0" w:space="0" w:color="auto"/>
            <w:bottom w:val="none" w:sz="0" w:space="0" w:color="auto"/>
            <w:right w:val="none" w:sz="0" w:space="0" w:color="auto"/>
          </w:divBdr>
        </w:div>
        <w:div w:id="872613062">
          <w:marLeft w:val="1440"/>
          <w:marRight w:val="0"/>
          <w:marTop w:val="60"/>
          <w:marBottom w:val="0"/>
          <w:divBdr>
            <w:top w:val="none" w:sz="0" w:space="0" w:color="auto"/>
            <w:left w:val="none" w:sz="0" w:space="0" w:color="auto"/>
            <w:bottom w:val="none" w:sz="0" w:space="0" w:color="auto"/>
            <w:right w:val="none" w:sz="0" w:space="0" w:color="auto"/>
          </w:divBdr>
        </w:div>
        <w:div w:id="520625985">
          <w:marLeft w:val="1440"/>
          <w:marRight w:val="0"/>
          <w:marTop w:val="60"/>
          <w:marBottom w:val="0"/>
          <w:divBdr>
            <w:top w:val="none" w:sz="0" w:space="0" w:color="auto"/>
            <w:left w:val="none" w:sz="0" w:space="0" w:color="auto"/>
            <w:bottom w:val="none" w:sz="0" w:space="0" w:color="auto"/>
            <w:right w:val="none" w:sz="0" w:space="0" w:color="auto"/>
          </w:divBdr>
        </w:div>
        <w:div w:id="201017232">
          <w:marLeft w:val="1440"/>
          <w:marRight w:val="0"/>
          <w:marTop w:val="60"/>
          <w:marBottom w:val="0"/>
          <w:divBdr>
            <w:top w:val="none" w:sz="0" w:space="0" w:color="auto"/>
            <w:left w:val="none" w:sz="0" w:space="0" w:color="auto"/>
            <w:bottom w:val="none" w:sz="0" w:space="0" w:color="auto"/>
            <w:right w:val="none" w:sz="0" w:space="0" w:color="auto"/>
          </w:divBdr>
        </w:div>
        <w:div w:id="1811171352">
          <w:marLeft w:val="1440"/>
          <w:marRight w:val="0"/>
          <w:marTop w:val="60"/>
          <w:marBottom w:val="0"/>
          <w:divBdr>
            <w:top w:val="none" w:sz="0" w:space="0" w:color="auto"/>
            <w:left w:val="none" w:sz="0" w:space="0" w:color="auto"/>
            <w:bottom w:val="none" w:sz="0" w:space="0" w:color="auto"/>
            <w:right w:val="none" w:sz="0" w:space="0" w:color="auto"/>
          </w:divBdr>
        </w:div>
        <w:div w:id="1328555568">
          <w:marLeft w:val="1440"/>
          <w:marRight w:val="0"/>
          <w:marTop w:val="60"/>
          <w:marBottom w:val="0"/>
          <w:divBdr>
            <w:top w:val="none" w:sz="0" w:space="0" w:color="auto"/>
            <w:left w:val="none" w:sz="0" w:space="0" w:color="auto"/>
            <w:bottom w:val="none" w:sz="0" w:space="0" w:color="auto"/>
            <w:right w:val="none" w:sz="0" w:space="0" w:color="auto"/>
          </w:divBdr>
        </w:div>
      </w:divsChild>
    </w:div>
    <w:div w:id="447550829">
      <w:bodyDiv w:val="1"/>
      <w:marLeft w:val="0"/>
      <w:marRight w:val="0"/>
      <w:marTop w:val="0"/>
      <w:marBottom w:val="0"/>
      <w:divBdr>
        <w:top w:val="none" w:sz="0" w:space="0" w:color="auto"/>
        <w:left w:val="none" w:sz="0" w:space="0" w:color="auto"/>
        <w:bottom w:val="none" w:sz="0" w:space="0" w:color="auto"/>
        <w:right w:val="none" w:sz="0" w:space="0" w:color="auto"/>
      </w:divBdr>
    </w:div>
    <w:div w:id="913855831">
      <w:bodyDiv w:val="1"/>
      <w:marLeft w:val="0"/>
      <w:marRight w:val="0"/>
      <w:marTop w:val="0"/>
      <w:marBottom w:val="0"/>
      <w:divBdr>
        <w:top w:val="none" w:sz="0" w:space="0" w:color="auto"/>
        <w:left w:val="none" w:sz="0" w:space="0" w:color="auto"/>
        <w:bottom w:val="none" w:sz="0" w:space="0" w:color="auto"/>
        <w:right w:val="none" w:sz="0" w:space="0" w:color="auto"/>
      </w:divBdr>
    </w:div>
    <w:div w:id="987705146">
      <w:bodyDiv w:val="1"/>
      <w:marLeft w:val="0"/>
      <w:marRight w:val="0"/>
      <w:marTop w:val="0"/>
      <w:marBottom w:val="0"/>
      <w:divBdr>
        <w:top w:val="none" w:sz="0" w:space="0" w:color="auto"/>
        <w:left w:val="none" w:sz="0" w:space="0" w:color="auto"/>
        <w:bottom w:val="none" w:sz="0" w:space="0" w:color="auto"/>
        <w:right w:val="none" w:sz="0" w:space="0" w:color="auto"/>
      </w:divBdr>
      <w:divsChild>
        <w:div w:id="294484408">
          <w:marLeft w:val="576"/>
          <w:marRight w:val="0"/>
          <w:marTop w:val="60"/>
          <w:marBottom w:val="0"/>
          <w:divBdr>
            <w:top w:val="none" w:sz="0" w:space="0" w:color="auto"/>
            <w:left w:val="none" w:sz="0" w:space="0" w:color="auto"/>
            <w:bottom w:val="none" w:sz="0" w:space="0" w:color="auto"/>
            <w:right w:val="none" w:sz="0" w:space="0" w:color="auto"/>
          </w:divBdr>
        </w:div>
        <w:div w:id="778335462">
          <w:marLeft w:val="576"/>
          <w:marRight w:val="0"/>
          <w:marTop w:val="60"/>
          <w:marBottom w:val="0"/>
          <w:divBdr>
            <w:top w:val="none" w:sz="0" w:space="0" w:color="auto"/>
            <w:left w:val="none" w:sz="0" w:space="0" w:color="auto"/>
            <w:bottom w:val="none" w:sz="0" w:space="0" w:color="auto"/>
            <w:right w:val="none" w:sz="0" w:space="0" w:color="auto"/>
          </w:divBdr>
        </w:div>
        <w:div w:id="1386416680">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mailto:info@sptf.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482562-9212-445B-8197-FD146A2D7CB0}" type="doc">
      <dgm:prSet loTypeId="urn:microsoft.com/office/officeart/2005/8/layout/chevron1" loCatId="process" qsTypeId="urn:microsoft.com/office/officeart/2005/8/quickstyle/simple1" qsCatId="simple" csTypeId="urn:microsoft.com/office/officeart/2005/8/colors/accent1_2" csCatId="accent1" phldr="1"/>
      <dgm:spPr/>
    </dgm:pt>
    <dgm:pt modelId="{92F2BBC0-CF7A-4C6B-87E6-CFA75B6D25D5}">
      <dgm:prSet phldrT="[Text]"/>
      <dgm:spPr/>
      <dgm:t>
        <a:bodyPr/>
        <a:lstStyle/>
        <a:p>
          <a:r>
            <a:rPr lang="en-GB"/>
            <a:t>Use of credit, savings, insurance; integrated microfinance and health education </a:t>
          </a:r>
        </a:p>
      </dgm:t>
    </dgm:pt>
    <dgm:pt modelId="{36A3A0F4-A8EC-4761-9E42-FB81D3766492}" type="parTrans" cxnId="{D9D4BF36-983A-4565-88BC-BA05D7E5650B}">
      <dgm:prSet/>
      <dgm:spPr/>
      <dgm:t>
        <a:bodyPr/>
        <a:lstStyle/>
        <a:p>
          <a:endParaRPr lang="en-GB"/>
        </a:p>
      </dgm:t>
    </dgm:pt>
    <dgm:pt modelId="{7BD8E175-01B8-4EB9-9748-B6C18CBDAA0C}" type="sibTrans" cxnId="{D9D4BF36-983A-4565-88BC-BA05D7E5650B}">
      <dgm:prSet/>
      <dgm:spPr/>
      <dgm:t>
        <a:bodyPr/>
        <a:lstStyle/>
        <a:p>
          <a:endParaRPr lang="en-GB"/>
        </a:p>
      </dgm:t>
    </dgm:pt>
    <dgm:pt modelId="{F038A1E4-C30E-4AA0-B191-9269FE43B84D}">
      <dgm:prSet phldrT="[Text]"/>
      <dgm:spPr/>
      <dgm:t>
        <a:bodyPr/>
        <a:lstStyle/>
        <a:p>
          <a:r>
            <a:rPr lang="en-GB"/>
            <a:t>Consumption smoothening;   ability to cope with shocks</a:t>
          </a:r>
        </a:p>
      </dgm:t>
    </dgm:pt>
    <dgm:pt modelId="{E5AC7BFD-2E5C-4285-8C44-4717D367B24F}" type="parTrans" cxnId="{A891949A-F7F1-4466-828B-AC0C5B30D8E2}">
      <dgm:prSet/>
      <dgm:spPr/>
      <dgm:t>
        <a:bodyPr/>
        <a:lstStyle/>
        <a:p>
          <a:endParaRPr lang="en-GB"/>
        </a:p>
      </dgm:t>
    </dgm:pt>
    <dgm:pt modelId="{7D00E98A-5F36-4444-B001-910336BE2B5C}" type="sibTrans" cxnId="{A891949A-F7F1-4466-828B-AC0C5B30D8E2}">
      <dgm:prSet/>
      <dgm:spPr/>
      <dgm:t>
        <a:bodyPr/>
        <a:lstStyle/>
        <a:p>
          <a:endParaRPr lang="en-GB"/>
        </a:p>
      </dgm:t>
    </dgm:pt>
    <dgm:pt modelId="{CCF6FDCB-412C-49C0-A808-D13A68F9B859}">
      <dgm:prSet phldrT="[Text]"/>
      <dgm:spPr/>
      <dgm:t>
        <a:bodyPr/>
        <a:lstStyle/>
        <a:p>
          <a:r>
            <a:rPr lang="en-GB"/>
            <a:t>Seek prompt medical treatment;  seek preventive  health care</a:t>
          </a:r>
        </a:p>
      </dgm:t>
    </dgm:pt>
    <dgm:pt modelId="{F1C40F6F-FEF8-4953-8D95-03D2221167DE}" type="parTrans" cxnId="{FAC0E6A9-1466-49EE-B8EA-5FEEB0C323D1}">
      <dgm:prSet/>
      <dgm:spPr/>
      <dgm:t>
        <a:bodyPr/>
        <a:lstStyle/>
        <a:p>
          <a:endParaRPr lang="en-GB"/>
        </a:p>
      </dgm:t>
    </dgm:pt>
    <dgm:pt modelId="{615D1B40-6947-4307-BBA8-0697C96D7149}" type="sibTrans" cxnId="{FAC0E6A9-1466-49EE-B8EA-5FEEB0C323D1}">
      <dgm:prSet/>
      <dgm:spPr/>
      <dgm:t>
        <a:bodyPr/>
        <a:lstStyle/>
        <a:p>
          <a:endParaRPr lang="en-GB"/>
        </a:p>
      </dgm:t>
    </dgm:pt>
    <dgm:pt modelId="{D2377DD3-C663-4217-BBCB-5286170D3A88}">
      <dgm:prSet/>
      <dgm:spPr/>
      <dgm:t>
        <a:bodyPr/>
        <a:lstStyle/>
        <a:p>
          <a:r>
            <a:rPr lang="en-GB"/>
            <a:t>improved health outcomes</a:t>
          </a:r>
        </a:p>
      </dgm:t>
    </dgm:pt>
    <dgm:pt modelId="{A4CD918F-8570-4114-AAF0-F2F47E87405F}" type="parTrans" cxnId="{953D533D-3130-4ACE-AC92-A0E8695192BF}">
      <dgm:prSet/>
      <dgm:spPr/>
      <dgm:t>
        <a:bodyPr/>
        <a:lstStyle/>
        <a:p>
          <a:endParaRPr lang="en-GB"/>
        </a:p>
      </dgm:t>
    </dgm:pt>
    <dgm:pt modelId="{EDE29145-8938-47C8-9DE0-B47DECF9865B}" type="sibTrans" cxnId="{953D533D-3130-4ACE-AC92-A0E8695192BF}">
      <dgm:prSet/>
      <dgm:spPr/>
      <dgm:t>
        <a:bodyPr/>
        <a:lstStyle/>
        <a:p>
          <a:endParaRPr lang="en-GB"/>
        </a:p>
      </dgm:t>
    </dgm:pt>
    <dgm:pt modelId="{7FEFBB70-AB4C-4708-A5AA-772CFDB4A95B}" type="pres">
      <dgm:prSet presAssocID="{85482562-9212-445B-8197-FD146A2D7CB0}" presName="Name0" presStyleCnt="0">
        <dgm:presLayoutVars>
          <dgm:dir/>
          <dgm:animLvl val="lvl"/>
          <dgm:resizeHandles val="exact"/>
        </dgm:presLayoutVars>
      </dgm:prSet>
      <dgm:spPr/>
    </dgm:pt>
    <dgm:pt modelId="{44EFE7DA-B430-487E-88C9-96DDB66DC528}" type="pres">
      <dgm:prSet presAssocID="{92F2BBC0-CF7A-4C6B-87E6-CFA75B6D25D5}" presName="parTxOnly" presStyleLbl="node1" presStyleIdx="0" presStyleCnt="4">
        <dgm:presLayoutVars>
          <dgm:chMax val="0"/>
          <dgm:chPref val="0"/>
          <dgm:bulletEnabled val="1"/>
        </dgm:presLayoutVars>
      </dgm:prSet>
      <dgm:spPr/>
      <dgm:t>
        <a:bodyPr/>
        <a:lstStyle/>
        <a:p>
          <a:endParaRPr lang="en-GB"/>
        </a:p>
      </dgm:t>
    </dgm:pt>
    <dgm:pt modelId="{3AA0C535-9986-4EAB-808D-7A84493E8D30}" type="pres">
      <dgm:prSet presAssocID="{7BD8E175-01B8-4EB9-9748-B6C18CBDAA0C}" presName="parTxOnlySpace" presStyleCnt="0"/>
      <dgm:spPr/>
    </dgm:pt>
    <dgm:pt modelId="{C26FBCF2-60CA-4ED4-8C9F-BAAF64F53239}" type="pres">
      <dgm:prSet presAssocID="{F038A1E4-C30E-4AA0-B191-9269FE43B84D}" presName="parTxOnly" presStyleLbl="node1" presStyleIdx="1" presStyleCnt="4">
        <dgm:presLayoutVars>
          <dgm:chMax val="0"/>
          <dgm:chPref val="0"/>
          <dgm:bulletEnabled val="1"/>
        </dgm:presLayoutVars>
      </dgm:prSet>
      <dgm:spPr/>
      <dgm:t>
        <a:bodyPr/>
        <a:lstStyle/>
        <a:p>
          <a:endParaRPr lang="en-GB"/>
        </a:p>
      </dgm:t>
    </dgm:pt>
    <dgm:pt modelId="{6472B2B9-8814-4888-A7C3-95EFFDF20C89}" type="pres">
      <dgm:prSet presAssocID="{7D00E98A-5F36-4444-B001-910336BE2B5C}" presName="parTxOnlySpace" presStyleCnt="0"/>
      <dgm:spPr/>
    </dgm:pt>
    <dgm:pt modelId="{414D4689-9073-4687-87E7-DB34C6B81ABD}" type="pres">
      <dgm:prSet presAssocID="{CCF6FDCB-412C-49C0-A808-D13A68F9B859}" presName="parTxOnly" presStyleLbl="node1" presStyleIdx="2" presStyleCnt="4">
        <dgm:presLayoutVars>
          <dgm:chMax val="0"/>
          <dgm:chPref val="0"/>
          <dgm:bulletEnabled val="1"/>
        </dgm:presLayoutVars>
      </dgm:prSet>
      <dgm:spPr/>
      <dgm:t>
        <a:bodyPr/>
        <a:lstStyle/>
        <a:p>
          <a:endParaRPr lang="en-GB"/>
        </a:p>
      </dgm:t>
    </dgm:pt>
    <dgm:pt modelId="{7163DFD7-BB4D-4519-A74C-E0AF0B7A9453}" type="pres">
      <dgm:prSet presAssocID="{615D1B40-6947-4307-BBA8-0697C96D7149}" presName="parTxOnlySpace" presStyleCnt="0"/>
      <dgm:spPr/>
    </dgm:pt>
    <dgm:pt modelId="{E2AE0DDD-6AEF-40BD-810C-10633D528CD2}" type="pres">
      <dgm:prSet presAssocID="{D2377DD3-C663-4217-BBCB-5286170D3A88}" presName="parTxOnly" presStyleLbl="node1" presStyleIdx="3" presStyleCnt="4">
        <dgm:presLayoutVars>
          <dgm:chMax val="0"/>
          <dgm:chPref val="0"/>
          <dgm:bulletEnabled val="1"/>
        </dgm:presLayoutVars>
      </dgm:prSet>
      <dgm:spPr/>
      <dgm:t>
        <a:bodyPr/>
        <a:lstStyle/>
        <a:p>
          <a:endParaRPr lang="en-GB"/>
        </a:p>
      </dgm:t>
    </dgm:pt>
  </dgm:ptLst>
  <dgm:cxnLst>
    <dgm:cxn modelId="{41A5A3B5-EFB4-47E5-8733-3107A0EB98DE}" type="presOf" srcId="{F038A1E4-C30E-4AA0-B191-9269FE43B84D}" destId="{C26FBCF2-60CA-4ED4-8C9F-BAAF64F53239}" srcOrd="0" destOrd="0" presId="urn:microsoft.com/office/officeart/2005/8/layout/chevron1"/>
    <dgm:cxn modelId="{953D533D-3130-4ACE-AC92-A0E8695192BF}" srcId="{85482562-9212-445B-8197-FD146A2D7CB0}" destId="{D2377DD3-C663-4217-BBCB-5286170D3A88}" srcOrd="3" destOrd="0" parTransId="{A4CD918F-8570-4114-AAF0-F2F47E87405F}" sibTransId="{EDE29145-8938-47C8-9DE0-B47DECF9865B}"/>
    <dgm:cxn modelId="{228A39CD-C971-4926-ACA1-E19C31FD442C}" type="presOf" srcId="{85482562-9212-445B-8197-FD146A2D7CB0}" destId="{7FEFBB70-AB4C-4708-A5AA-772CFDB4A95B}" srcOrd="0" destOrd="0" presId="urn:microsoft.com/office/officeart/2005/8/layout/chevron1"/>
    <dgm:cxn modelId="{638A0340-B2E3-4A96-B0CD-B6F175132920}" type="presOf" srcId="{92F2BBC0-CF7A-4C6B-87E6-CFA75B6D25D5}" destId="{44EFE7DA-B430-487E-88C9-96DDB66DC528}" srcOrd="0" destOrd="0" presId="urn:microsoft.com/office/officeart/2005/8/layout/chevron1"/>
    <dgm:cxn modelId="{3E070B4F-10EB-4459-877F-5170EEDF83F3}" type="presOf" srcId="{CCF6FDCB-412C-49C0-A808-D13A68F9B859}" destId="{414D4689-9073-4687-87E7-DB34C6B81ABD}" srcOrd="0" destOrd="0" presId="urn:microsoft.com/office/officeart/2005/8/layout/chevron1"/>
    <dgm:cxn modelId="{202F8271-9D19-4F97-9A56-5A6C5561DA76}" type="presOf" srcId="{D2377DD3-C663-4217-BBCB-5286170D3A88}" destId="{E2AE0DDD-6AEF-40BD-810C-10633D528CD2}" srcOrd="0" destOrd="0" presId="urn:microsoft.com/office/officeart/2005/8/layout/chevron1"/>
    <dgm:cxn modelId="{A891949A-F7F1-4466-828B-AC0C5B30D8E2}" srcId="{85482562-9212-445B-8197-FD146A2D7CB0}" destId="{F038A1E4-C30E-4AA0-B191-9269FE43B84D}" srcOrd="1" destOrd="0" parTransId="{E5AC7BFD-2E5C-4285-8C44-4717D367B24F}" sibTransId="{7D00E98A-5F36-4444-B001-910336BE2B5C}"/>
    <dgm:cxn modelId="{D9D4BF36-983A-4565-88BC-BA05D7E5650B}" srcId="{85482562-9212-445B-8197-FD146A2D7CB0}" destId="{92F2BBC0-CF7A-4C6B-87E6-CFA75B6D25D5}" srcOrd="0" destOrd="0" parTransId="{36A3A0F4-A8EC-4761-9E42-FB81D3766492}" sibTransId="{7BD8E175-01B8-4EB9-9748-B6C18CBDAA0C}"/>
    <dgm:cxn modelId="{FAC0E6A9-1466-49EE-B8EA-5FEEB0C323D1}" srcId="{85482562-9212-445B-8197-FD146A2D7CB0}" destId="{CCF6FDCB-412C-49C0-A808-D13A68F9B859}" srcOrd="2" destOrd="0" parTransId="{F1C40F6F-FEF8-4953-8D95-03D2221167DE}" sibTransId="{615D1B40-6947-4307-BBA8-0697C96D7149}"/>
    <dgm:cxn modelId="{C4225406-B9CA-4458-A011-0445671BC52F}" type="presParOf" srcId="{7FEFBB70-AB4C-4708-A5AA-772CFDB4A95B}" destId="{44EFE7DA-B430-487E-88C9-96DDB66DC528}" srcOrd="0" destOrd="0" presId="urn:microsoft.com/office/officeart/2005/8/layout/chevron1"/>
    <dgm:cxn modelId="{D818A65F-6F57-46E2-A26F-AB06C6CE3095}" type="presParOf" srcId="{7FEFBB70-AB4C-4708-A5AA-772CFDB4A95B}" destId="{3AA0C535-9986-4EAB-808D-7A84493E8D30}" srcOrd="1" destOrd="0" presId="urn:microsoft.com/office/officeart/2005/8/layout/chevron1"/>
    <dgm:cxn modelId="{462922F9-6294-4DC7-B84C-6A5412066686}" type="presParOf" srcId="{7FEFBB70-AB4C-4708-A5AA-772CFDB4A95B}" destId="{C26FBCF2-60CA-4ED4-8C9F-BAAF64F53239}" srcOrd="2" destOrd="0" presId="urn:microsoft.com/office/officeart/2005/8/layout/chevron1"/>
    <dgm:cxn modelId="{CADD7BEB-F200-44A4-A10F-4BA6C165A191}" type="presParOf" srcId="{7FEFBB70-AB4C-4708-A5AA-772CFDB4A95B}" destId="{6472B2B9-8814-4888-A7C3-95EFFDF20C89}" srcOrd="3" destOrd="0" presId="urn:microsoft.com/office/officeart/2005/8/layout/chevron1"/>
    <dgm:cxn modelId="{4D2CED0B-C81F-40E6-8E17-C4A0E4B8A6EE}" type="presParOf" srcId="{7FEFBB70-AB4C-4708-A5AA-772CFDB4A95B}" destId="{414D4689-9073-4687-87E7-DB34C6B81ABD}" srcOrd="4" destOrd="0" presId="urn:microsoft.com/office/officeart/2005/8/layout/chevron1"/>
    <dgm:cxn modelId="{1A35E93D-8642-4FDB-B2AC-8CC14C664221}" type="presParOf" srcId="{7FEFBB70-AB4C-4708-A5AA-772CFDB4A95B}" destId="{7163DFD7-BB4D-4519-A74C-E0AF0B7A9453}" srcOrd="5" destOrd="0" presId="urn:microsoft.com/office/officeart/2005/8/layout/chevron1"/>
    <dgm:cxn modelId="{4DF8CE85-8EFA-4F28-B91C-DB372C92EC5E}" type="presParOf" srcId="{7FEFBB70-AB4C-4708-A5AA-772CFDB4A95B}" destId="{E2AE0DDD-6AEF-40BD-810C-10633D528CD2}" srcOrd="6" destOrd="0" presId="urn:microsoft.com/office/officeart/2005/8/layout/chevron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4EFE7DA-B430-487E-88C9-96DDB66DC528}">
      <dsp:nvSpPr>
        <dsp:cNvPr id="0" name=""/>
        <dsp:cNvSpPr/>
      </dsp:nvSpPr>
      <dsp:spPr>
        <a:xfrm>
          <a:off x="2544" y="346650"/>
          <a:ext cx="1481435" cy="59257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t>Use of credit, savings, insurance; integrated microfinance and health education </a:t>
          </a:r>
        </a:p>
      </dsp:txBody>
      <dsp:txXfrm>
        <a:off x="2544" y="346650"/>
        <a:ext cx="1481435" cy="592574"/>
      </dsp:txXfrm>
    </dsp:sp>
    <dsp:sp modelId="{C26FBCF2-60CA-4ED4-8C9F-BAAF64F53239}">
      <dsp:nvSpPr>
        <dsp:cNvPr id="0" name=""/>
        <dsp:cNvSpPr/>
      </dsp:nvSpPr>
      <dsp:spPr>
        <a:xfrm>
          <a:off x="1335836" y="346650"/>
          <a:ext cx="1481435" cy="59257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t>Consumption smoothening;   ability to cope with shocks</a:t>
          </a:r>
        </a:p>
      </dsp:txBody>
      <dsp:txXfrm>
        <a:off x="1335836" y="346650"/>
        <a:ext cx="1481435" cy="592574"/>
      </dsp:txXfrm>
    </dsp:sp>
    <dsp:sp modelId="{414D4689-9073-4687-87E7-DB34C6B81ABD}">
      <dsp:nvSpPr>
        <dsp:cNvPr id="0" name=""/>
        <dsp:cNvSpPr/>
      </dsp:nvSpPr>
      <dsp:spPr>
        <a:xfrm>
          <a:off x="2669128" y="346650"/>
          <a:ext cx="1481435" cy="59257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t>Seek prompt medical treatment;  seek preventive  health care</a:t>
          </a:r>
        </a:p>
      </dsp:txBody>
      <dsp:txXfrm>
        <a:off x="2669128" y="346650"/>
        <a:ext cx="1481435" cy="592574"/>
      </dsp:txXfrm>
    </dsp:sp>
    <dsp:sp modelId="{E2AE0DDD-6AEF-40BD-810C-10633D528CD2}">
      <dsp:nvSpPr>
        <dsp:cNvPr id="0" name=""/>
        <dsp:cNvSpPr/>
      </dsp:nvSpPr>
      <dsp:spPr>
        <a:xfrm>
          <a:off x="4002419" y="346650"/>
          <a:ext cx="1481435" cy="59257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t>improved health outcomes</a:t>
          </a:r>
        </a:p>
      </dsp:txBody>
      <dsp:txXfrm>
        <a:off x="4002419" y="346650"/>
        <a:ext cx="1481435" cy="59257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dc:creator>
  <cp:lastModifiedBy>Amelia</cp:lastModifiedBy>
  <cp:revision>2</cp:revision>
  <dcterms:created xsi:type="dcterms:W3CDTF">2015-03-02T13:49:00Z</dcterms:created>
  <dcterms:modified xsi:type="dcterms:W3CDTF">2015-03-02T13:49:00Z</dcterms:modified>
</cp:coreProperties>
</file>